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219" w:rsidRPr="005C5989" w:rsidRDefault="00F55219" w:rsidP="005C5989">
      <w:pPr>
        <w:widowControl w:val="0"/>
        <w:autoSpaceDE w:val="0"/>
        <w:autoSpaceDN w:val="0"/>
        <w:adjustRightInd w:val="0"/>
        <w:spacing w:after="0" w:line="240" w:lineRule="auto"/>
        <w:ind w:left="170" w:right="170"/>
        <w:rPr>
          <w:rFonts w:eastAsiaTheme="minorHAnsi"/>
          <w:b/>
          <w:bCs/>
          <w:sz w:val="20"/>
          <w:u w:val="single"/>
          <w:lang w:eastAsia="en-US"/>
        </w:rPr>
      </w:pPr>
      <w:r w:rsidRPr="005C5989">
        <w:rPr>
          <w:rFonts w:eastAsiaTheme="minorHAnsi"/>
          <w:b/>
          <w:bCs/>
          <w:sz w:val="20"/>
          <w:u w:val="single"/>
          <w:lang w:eastAsia="en-US"/>
        </w:rPr>
        <w:t>Resmi Gazete Dışındaki Kaynak</w:t>
      </w:r>
    </w:p>
    <w:p w:rsidR="00F55219" w:rsidRDefault="00F55219" w:rsidP="005C5989">
      <w:pPr>
        <w:widowControl w:val="0"/>
        <w:autoSpaceDE w:val="0"/>
        <w:autoSpaceDN w:val="0"/>
        <w:adjustRightInd w:val="0"/>
        <w:spacing w:after="0" w:line="240" w:lineRule="auto"/>
        <w:ind w:left="170" w:right="170"/>
        <w:rPr>
          <w:rStyle w:val="document-info-data"/>
          <w:b/>
          <w:sz w:val="20"/>
          <w:u w:val="single"/>
        </w:rPr>
      </w:pPr>
      <w:r w:rsidRPr="005C5989">
        <w:rPr>
          <w:rFonts w:eastAsiaTheme="minorHAnsi"/>
          <w:b/>
          <w:bCs/>
          <w:sz w:val="20"/>
          <w:u w:val="single"/>
          <w:lang w:eastAsia="en-US"/>
        </w:rPr>
        <w:t>Sigortacılık ve Özel Emeklilik Düzenleme ve Denetleme Kurumu</w:t>
      </w:r>
      <w:r w:rsidR="005C5989">
        <w:rPr>
          <w:rStyle w:val="document-info-data"/>
          <w:b/>
          <w:sz w:val="20"/>
        </w:rPr>
        <w:tab/>
      </w:r>
      <w:r w:rsidR="005C5989">
        <w:rPr>
          <w:rStyle w:val="document-info-data"/>
          <w:b/>
          <w:sz w:val="20"/>
        </w:rPr>
        <w:tab/>
      </w:r>
      <w:r w:rsidR="005C5989">
        <w:rPr>
          <w:rStyle w:val="document-info-data"/>
          <w:b/>
          <w:sz w:val="20"/>
        </w:rPr>
        <w:tab/>
      </w:r>
      <w:r w:rsidR="00BD729D">
        <w:rPr>
          <w:rStyle w:val="document-info-data"/>
          <w:b/>
          <w:sz w:val="20"/>
        </w:rPr>
        <w:t>1</w:t>
      </w:r>
      <w:bookmarkStart w:id="0" w:name="_GoBack"/>
      <w:bookmarkEnd w:id="0"/>
      <w:r w:rsidRPr="005C5989">
        <w:rPr>
          <w:rStyle w:val="document-info-data"/>
          <w:b/>
          <w:sz w:val="20"/>
        </w:rPr>
        <w:t>0.02.2023</w:t>
      </w:r>
    </w:p>
    <w:p w:rsidR="00F55219" w:rsidRPr="00F55219" w:rsidRDefault="00F55219" w:rsidP="00F55219">
      <w:pPr>
        <w:pStyle w:val="Normal1"/>
        <w:spacing w:after="0"/>
        <w:ind w:firstLine="600"/>
        <w:rPr>
          <w:sz w:val="20"/>
          <w:u w:val="single"/>
        </w:rPr>
      </w:pPr>
    </w:p>
    <w:p w:rsidR="002F5F3F" w:rsidRDefault="00F55219" w:rsidP="00F55219">
      <w:pPr>
        <w:pStyle w:val="Balk2"/>
        <w:spacing w:before="0" w:after="0"/>
        <w:ind w:left="600" w:right="900"/>
        <w:jc w:val="center"/>
        <w:rPr>
          <w:rStyle w:val="document-info-data"/>
          <w:sz w:val="24"/>
          <w:szCs w:val="24"/>
        </w:rPr>
      </w:pPr>
      <w:r w:rsidRPr="00F55219">
        <w:rPr>
          <w:rStyle w:val="document-info-data"/>
          <w:sz w:val="24"/>
          <w:szCs w:val="24"/>
        </w:rPr>
        <w:t>2023/1 Sayılı Sermaye Yeterlilik Hesaplamasında Kullanılan Katsayılarda Değişiklik Yapılması Hakkında Genelgede Değişiklik Yapılmasına Dair Genelge</w:t>
      </w:r>
      <w:r>
        <w:rPr>
          <w:rStyle w:val="document-info-data"/>
          <w:sz w:val="24"/>
          <w:szCs w:val="24"/>
        </w:rPr>
        <w:t xml:space="preserve"> (</w:t>
      </w:r>
      <w:r w:rsidRPr="00F55219">
        <w:rPr>
          <w:rStyle w:val="document-info-data"/>
          <w:sz w:val="24"/>
          <w:szCs w:val="24"/>
        </w:rPr>
        <w:t>2023/5</w:t>
      </w:r>
      <w:r>
        <w:rPr>
          <w:rStyle w:val="document-info-data"/>
          <w:sz w:val="24"/>
          <w:szCs w:val="24"/>
        </w:rPr>
        <w:t>)</w:t>
      </w:r>
    </w:p>
    <w:p w:rsidR="00F55219" w:rsidRDefault="00F55219" w:rsidP="00F55219">
      <w:pPr>
        <w:pStyle w:val="Normal1"/>
        <w:spacing w:after="0"/>
      </w:pPr>
    </w:p>
    <w:p w:rsidR="00F55219" w:rsidRPr="00F55219" w:rsidRDefault="00F55219" w:rsidP="00F55219">
      <w:pPr>
        <w:pStyle w:val="Normal1"/>
        <w:spacing w:after="0"/>
      </w:pPr>
    </w:p>
    <w:p w:rsidR="002F5F3F" w:rsidRPr="00F55219" w:rsidRDefault="00F55219" w:rsidP="00F55219">
      <w:pPr>
        <w:pStyle w:val="GvdeMetni"/>
        <w:spacing w:line="276" w:lineRule="auto"/>
        <w:ind w:right="98"/>
        <w:jc w:val="both"/>
        <w:rPr>
          <w:rFonts w:ascii="Arial" w:hAnsi="Arial" w:cs="Arial"/>
          <w:sz w:val="20"/>
          <w:szCs w:val="20"/>
        </w:rPr>
      </w:pPr>
      <w:r w:rsidRPr="00F55219">
        <w:rPr>
          <w:rFonts w:ascii="Arial" w:hAnsi="Arial" w:cs="Arial"/>
          <w:b/>
          <w:sz w:val="20"/>
          <w:szCs w:val="20"/>
        </w:rPr>
        <w:t>MADDE 1 -</w:t>
      </w:r>
      <w:r w:rsidRPr="00F55219">
        <w:rPr>
          <w:rFonts w:ascii="Arial" w:hAnsi="Arial" w:cs="Arial"/>
          <w:sz w:val="20"/>
          <w:szCs w:val="20"/>
        </w:rPr>
        <w:t xml:space="preserve"> (1) 04/01/2023 tarihli ve 2023/1 sayılı Sermaye Yeterlilik Hesaplamasında Kullanılan Katsayılarda Değişiklik Yapılması Hakkında Genelgenin 3 üncü maddesinin sekizinci fıkrası ile değişiklik yapılan 23/8/2015 tarihli ve 29454 sayılı Resmi Gazete’de yayımlanan Sigorta ve Reasürans ile Emeklilik Şirketlerinin Sermaye Yeterliliklerinin Ölçülmesine ve Değerlendirilmesine İlişkin Yönetmeliğin “İkinci Yönteme Göre Gerekli Özsermaye başlıklı 8 inci maddesinin altıncı fıkrasının (b) bendinde belirtilen katsayılar aşağıdaki şekilde değiştirilmiştir.</w:t>
      </w:r>
    </w:p>
    <w:p w:rsidR="002F5F3F" w:rsidRPr="00F55219" w:rsidRDefault="002F5F3F" w:rsidP="00F55219">
      <w:pPr>
        <w:rPr>
          <w:b/>
          <w:sz w:val="20"/>
        </w:rPr>
      </w:pPr>
    </w:p>
    <w:tbl>
      <w:tblPr>
        <w:tblStyle w:val="TabloKlavuzu"/>
        <w:tblW w:w="0" w:type="auto"/>
        <w:tblInd w:w="0" w:type="dxa"/>
        <w:tblLook w:val="04A0" w:firstRow="1" w:lastRow="0" w:firstColumn="1" w:lastColumn="0" w:noHBand="0" w:noVBand="1"/>
      </w:tblPr>
      <w:tblGrid>
        <w:gridCol w:w="2793"/>
        <w:gridCol w:w="3454"/>
        <w:gridCol w:w="2977"/>
      </w:tblGrid>
      <w:tr w:rsidR="002F5F3F" w:rsidRPr="00F55219">
        <w:tc>
          <w:tcPr>
            <w:tcW w:w="6000" w:type="dxa"/>
            <w:shd w:val="clear" w:color="auto" w:fill="F5F5DC"/>
          </w:tcPr>
          <w:p w:rsidR="002F5F3F" w:rsidRPr="00F55219" w:rsidRDefault="00F55219" w:rsidP="00F55219">
            <w:pPr>
              <w:spacing w:line="276" w:lineRule="auto"/>
              <w:rPr>
                <w:sz w:val="20"/>
              </w:rPr>
            </w:pPr>
            <w:r w:rsidRPr="00F55219">
              <w:rPr>
                <w:sz w:val="20"/>
              </w:rPr>
              <w:t>b)</w:t>
            </w:r>
          </w:p>
        </w:tc>
        <w:tc>
          <w:tcPr>
            <w:tcW w:w="6000" w:type="dxa"/>
            <w:shd w:val="clear" w:color="auto" w:fill="F5F5DC"/>
          </w:tcPr>
          <w:p w:rsidR="002F5F3F" w:rsidRPr="00F55219" w:rsidRDefault="00F55219" w:rsidP="00F55219">
            <w:pPr>
              <w:spacing w:line="276" w:lineRule="auto"/>
              <w:rPr>
                <w:sz w:val="20"/>
              </w:rPr>
            </w:pPr>
            <w:r w:rsidRPr="00F55219">
              <w:rPr>
                <w:sz w:val="20"/>
              </w:rPr>
              <w:t>Hastalık/Sağlık (Uzun süreli sigortalar hariç)</w:t>
            </w:r>
          </w:p>
        </w:tc>
        <w:tc>
          <w:tcPr>
            <w:tcW w:w="6000" w:type="dxa"/>
            <w:shd w:val="clear" w:color="auto" w:fill="F5F5DC"/>
          </w:tcPr>
          <w:p w:rsidR="002F5F3F" w:rsidRPr="00F55219" w:rsidRDefault="00F55219" w:rsidP="00F55219">
            <w:pPr>
              <w:spacing w:line="276" w:lineRule="auto"/>
              <w:rPr>
                <w:sz w:val="20"/>
              </w:rPr>
            </w:pPr>
            <w:r w:rsidRPr="00F55219">
              <w:rPr>
                <w:sz w:val="20"/>
              </w:rPr>
              <w:t>0,080</w:t>
            </w:r>
          </w:p>
        </w:tc>
      </w:tr>
      <w:tr w:rsidR="002F5F3F" w:rsidRPr="00F55219">
        <w:tc>
          <w:tcPr>
            <w:tcW w:w="6000" w:type="dxa"/>
            <w:shd w:val="clear" w:color="auto" w:fill="F5F5DC"/>
          </w:tcPr>
          <w:p w:rsidR="002F5F3F" w:rsidRPr="00F55219" w:rsidRDefault="002F5F3F" w:rsidP="00F55219">
            <w:pPr>
              <w:spacing w:line="276" w:lineRule="auto"/>
              <w:rPr>
                <w:sz w:val="20"/>
              </w:rPr>
            </w:pPr>
          </w:p>
        </w:tc>
        <w:tc>
          <w:tcPr>
            <w:tcW w:w="6000" w:type="dxa"/>
            <w:shd w:val="clear" w:color="auto" w:fill="F5F5DC"/>
          </w:tcPr>
          <w:p w:rsidR="002F5F3F" w:rsidRPr="00F55219" w:rsidRDefault="00F55219" w:rsidP="00F55219">
            <w:pPr>
              <w:spacing w:line="276" w:lineRule="auto"/>
              <w:rPr>
                <w:sz w:val="20"/>
              </w:rPr>
            </w:pPr>
            <w:r w:rsidRPr="00F55219">
              <w:rPr>
                <w:sz w:val="20"/>
              </w:rPr>
              <w:t>Hastalık/Sağlık (Uzun süreli)</w:t>
            </w:r>
          </w:p>
        </w:tc>
        <w:tc>
          <w:tcPr>
            <w:tcW w:w="6000" w:type="dxa"/>
            <w:shd w:val="clear" w:color="auto" w:fill="F5F5DC"/>
          </w:tcPr>
          <w:p w:rsidR="002F5F3F" w:rsidRPr="00F55219" w:rsidRDefault="00F55219" w:rsidP="00F55219">
            <w:pPr>
              <w:spacing w:line="276" w:lineRule="auto"/>
              <w:rPr>
                <w:sz w:val="20"/>
              </w:rPr>
            </w:pPr>
            <w:r w:rsidRPr="00F55219">
              <w:rPr>
                <w:sz w:val="20"/>
              </w:rPr>
              <w:t>0,080</w:t>
            </w:r>
          </w:p>
        </w:tc>
      </w:tr>
    </w:tbl>
    <w:p w:rsidR="00F55219" w:rsidRPr="00F55219" w:rsidRDefault="00F55219" w:rsidP="00F55219">
      <w:pPr>
        <w:pStyle w:val="GvdeMetni"/>
        <w:spacing w:line="276" w:lineRule="auto"/>
        <w:ind w:right="98"/>
        <w:jc w:val="both"/>
        <w:rPr>
          <w:rFonts w:ascii="Arial" w:hAnsi="Arial" w:cs="Arial"/>
          <w:b/>
          <w:sz w:val="20"/>
          <w:szCs w:val="20"/>
        </w:rPr>
      </w:pPr>
    </w:p>
    <w:p w:rsidR="002F5F3F" w:rsidRPr="00F55219" w:rsidRDefault="00F55219" w:rsidP="00F55219">
      <w:pPr>
        <w:pStyle w:val="GvdeMetni"/>
        <w:spacing w:line="276" w:lineRule="auto"/>
        <w:ind w:right="98"/>
        <w:jc w:val="both"/>
        <w:rPr>
          <w:rFonts w:ascii="Arial" w:hAnsi="Arial" w:cs="Arial"/>
          <w:b/>
          <w:sz w:val="20"/>
          <w:szCs w:val="20"/>
        </w:rPr>
      </w:pPr>
      <w:r w:rsidRPr="00F55219">
        <w:rPr>
          <w:rFonts w:ascii="Arial" w:hAnsi="Arial" w:cs="Arial"/>
          <w:b/>
          <w:sz w:val="20"/>
          <w:szCs w:val="20"/>
        </w:rPr>
        <w:t xml:space="preserve">MADDE 2 - </w:t>
      </w:r>
      <w:r w:rsidRPr="00F55219">
        <w:rPr>
          <w:rFonts w:ascii="Arial" w:hAnsi="Arial" w:cs="Arial"/>
          <w:sz w:val="20"/>
          <w:szCs w:val="20"/>
        </w:rPr>
        <w:t>(1)</w:t>
      </w:r>
      <w:r w:rsidRPr="00F55219">
        <w:rPr>
          <w:rFonts w:ascii="Arial" w:hAnsi="Arial" w:cs="Arial"/>
          <w:b/>
          <w:sz w:val="20"/>
          <w:szCs w:val="20"/>
        </w:rPr>
        <w:t xml:space="preserve"> </w:t>
      </w:r>
      <w:r w:rsidRPr="00F55219">
        <w:rPr>
          <w:rFonts w:ascii="Arial" w:hAnsi="Arial" w:cs="Arial"/>
          <w:sz w:val="20"/>
          <w:szCs w:val="20"/>
        </w:rPr>
        <w:t>Bu Genelge 31/12/2022 tarihinden itibaren geçerli olmak üzere yayımı tarihinde yürürlüğe girer. Bu Genelge nedeniyle finansal tablo dipnotlarında değişiklik oluşması halinde, bu Genelgenin yayım tarihi itibarıyla finansal raporlarını açıklayan şirketlerin finansal raporları yeniden yayınlamasına gerek bulunmamaktadır.</w:t>
      </w:r>
    </w:p>
    <w:p w:rsidR="00F55219" w:rsidRPr="00F55219" w:rsidRDefault="00F55219" w:rsidP="00F55219">
      <w:pPr>
        <w:pStyle w:val="GvdeMetni"/>
        <w:spacing w:line="276" w:lineRule="auto"/>
        <w:ind w:right="98"/>
        <w:jc w:val="both"/>
        <w:rPr>
          <w:rFonts w:ascii="Arial" w:hAnsi="Arial" w:cs="Arial"/>
          <w:b/>
          <w:sz w:val="20"/>
          <w:szCs w:val="20"/>
        </w:rPr>
      </w:pPr>
    </w:p>
    <w:p w:rsidR="002F5F3F" w:rsidRPr="00F55219" w:rsidRDefault="00F55219" w:rsidP="00F55219">
      <w:pPr>
        <w:pStyle w:val="GvdeMetni"/>
        <w:spacing w:line="276" w:lineRule="auto"/>
        <w:ind w:right="98"/>
        <w:jc w:val="both"/>
        <w:rPr>
          <w:rFonts w:ascii="Arial" w:hAnsi="Arial" w:cs="Arial"/>
          <w:b/>
          <w:sz w:val="20"/>
          <w:szCs w:val="20"/>
        </w:rPr>
      </w:pPr>
      <w:r w:rsidRPr="00F55219">
        <w:rPr>
          <w:rFonts w:ascii="Arial" w:hAnsi="Arial" w:cs="Arial"/>
          <w:b/>
          <w:sz w:val="20"/>
          <w:szCs w:val="20"/>
        </w:rPr>
        <w:t xml:space="preserve">MADDE 3 - </w:t>
      </w:r>
      <w:r w:rsidRPr="00F55219">
        <w:rPr>
          <w:rFonts w:ascii="Arial" w:hAnsi="Arial" w:cs="Arial"/>
          <w:sz w:val="20"/>
          <w:szCs w:val="20"/>
        </w:rPr>
        <w:t>(1)</w:t>
      </w:r>
      <w:r w:rsidRPr="00F55219">
        <w:rPr>
          <w:rFonts w:ascii="Arial" w:hAnsi="Arial" w:cs="Arial"/>
          <w:b/>
          <w:sz w:val="20"/>
          <w:szCs w:val="20"/>
        </w:rPr>
        <w:t xml:space="preserve"> </w:t>
      </w:r>
      <w:r w:rsidRPr="00F55219">
        <w:rPr>
          <w:rFonts w:ascii="Arial" w:hAnsi="Arial" w:cs="Arial"/>
          <w:sz w:val="20"/>
          <w:szCs w:val="20"/>
        </w:rPr>
        <w:t>Bu Genelge hükümlerini Sigortacılık ve Özel Emeklilik Düzenleme ve Denetleme Kurumu Başkanı yürütür.</w:t>
      </w:r>
    </w:p>
    <w:p w:rsidR="002F5F3F" w:rsidRDefault="002F5F3F">
      <w:pPr>
        <w:jc w:val="both"/>
      </w:pPr>
    </w:p>
    <w:sectPr w:rsidR="002F5F3F">
      <w:headerReference w:type="even" r:id="rId7"/>
      <w:headerReference w:type="default" r:id="rId8"/>
      <w:footerReference w:type="even" r:id="rId9"/>
      <w:footerReference w:type="default" r:id="rId10"/>
      <w:headerReference w:type="first" r:id="rId11"/>
      <w:footerReference w:type="first" r:id="rId12"/>
      <w:pgSz w:w="12240" w:h="15840"/>
      <w:pgMar w:top="0" w:right="1500" w:bottom="0" w:left="150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436B" w:rsidRDefault="00F55219">
      <w:pPr>
        <w:spacing w:after="0" w:line="240" w:lineRule="auto"/>
      </w:pPr>
      <w:r>
        <w:separator/>
      </w:r>
    </w:p>
  </w:endnote>
  <w:endnote w:type="continuationSeparator" w:id="0">
    <w:p w:rsidR="003C436B" w:rsidRDefault="00F55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219" w:rsidRPr="00BD729D" w:rsidRDefault="00BD729D" w:rsidP="00BD729D">
    <w:pPr>
      <w:pStyle w:val="AltBilgi"/>
    </w:pPr>
    <w:fldSimple w:instr=" DOCPROPERTY bjFooterEvenPageDocProperty \* MERGEFORMAT " w:fldLock="1">
      <w:r w:rsidRPr="009B4AC5">
        <w:rPr>
          <w:rFonts w:ascii="Malgun Gothic" w:eastAsia="Malgun Gothic" w:hAnsi="Malgun Gothic"/>
          <w:b/>
          <w:bCs/>
          <w:color w:val="999999"/>
          <w:sz w:val="20"/>
        </w:rPr>
        <w:t>Sınıflandırma|</w:t>
      </w:r>
      <w:r w:rsidRPr="009B4AC5">
        <w:rPr>
          <w:rFonts w:ascii="Malgun Gothic" w:eastAsia="Malgun Gothic" w:hAnsi="Malgun Gothic"/>
          <w:b/>
          <w:bCs/>
          <w:color w:val="339966"/>
          <w:sz w:val="20"/>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F3F" w:rsidRDefault="00F55219">
    <w:r>
      <w:t xml:space="preserve">                                                                                  </w:t>
    </w:r>
  </w:p>
  <w:p w:rsidR="00BD729D" w:rsidRDefault="00BD729D" w:rsidP="00BD729D">
    <w:pPr>
      <w:spacing w:after="0" w:line="240" w:lineRule="auto"/>
    </w:pPr>
    <w:fldSimple w:instr=" DOCPROPERTY bjFooterBothDocProperty \* MERGEFORMAT " w:fldLock="1">
      <w:r w:rsidRPr="009B4AC5">
        <w:rPr>
          <w:rFonts w:ascii="Malgun Gothic" w:eastAsia="Malgun Gothic" w:hAnsi="Malgun Gothic"/>
          <w:b/>
          <w:bCs/>
          <w:color w:val="999999"/>
          <w:sz w:val="20"/>
        </w:rPr>
        <w:t>Sınıflandırma|</w:t>
      </w:r>
      <w:r w:rsidRPr="009B4AC5">
        <w:rPr>
          <w:rFonts w:ascii="Malgun Gothic" w:eastAsia="Malgun Gothic" w:hAnsi="Malgun Gothic"/>
          <w:b/>
          <w:bCs/>
          <w:color w:val="339966"/>
          <w:sz w:val="20"/>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219" w:rsidRPr="00BD729D" w:rsidRDefault="00BD729D" w:rsidP="00BD729D">
    <w:pPr>
      <w:pStyle w:val="AltBilgi"/>
    </w:pPr>
    <w:fldSimple w:instr=" DOCPROPERTY bjFooterFirstPageDocProperty \* MERGEFORMAT " w:fldLock="1">
      <w:r w:rsidRPr="009B4AC5">
        <w:rPr>
          <w:rFonts w:ascii="Malgun Gothic" w:eastAsia="Malgun Gothic" w:hAnsi="Malgun Gothic"/>
          <w:b/>
          <w:bCs/>
          <w:color w:val="999999"/>
          <w:sz w:val="20"/>
        </w:rPr>
        <w:t>Sınıflandırma|</w:t>
      </w:r>
      <w:r w:rsidRPr="009B4AC5">
        <w:rPr>
          <w:rFonts w:ascii="Malgun Gothic" w:eastAsia="Malgun Gothic" w:hAnsi="Malgun Gothic"/>
          <w:b/>
          <w:bCs/>
          <w:color w:val="339966"/>
          <w:sz w:val="20"/>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436B" w:rsidRDefault="00F55219">
      <w:pPr>
        <w:spacing w:after="0" w:line="240" w:lineRule="auto"/>
      </w:pPr>
      <w:r>
        <w:separator/>
      </w:r>
    </w:p>
  </w:footnote>
  <w:footnote w:type="continuationSeparator" w:id="0">
    <w:p w:rsidR="003C436B" w:rsidRDefault="00F55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219" w:rsidRDefault="00F5521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F3F" w:rsidRDefault="002F5F3F">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219" w:rsidRDefault="00F5521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F3F"/>
    <w:rsid w:val="002F5F3F"/>
    <w:rsid w:val="003C436B"/>
    <w:rsid w:val="005C5989"/>
    <w:rsid w:val="00BD729D"/>
    <w:rsid w:val="00F55219"/>
    <w:rsid w:val="00FC60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9D8720"/>
  <w15:docId w15:val="{E61A4277-107F-4E5D-9F9C-A9A52D43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2"/>
        <w:lang w:val="tr-TR" w:eastAsia="tr-TR" w:bidi="ar-SA"/>
      </w:rPr>
    </w:rPrDefault>
    <w:pPrDefault>
      <w:pPr>
        <w:spacing w:after="1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1"/>
    <w:next w:val="Normal1"/>
    <w:uiPriority w:val="9"/>
    <w:unhideWhenUsed/>
    <w:qFormat/>
    <w:pPr>
      <w:keepLines/>
      <w:spacing w:before="280" w:after="280"/>
      <w:outlineLvl w:val="1"/>
    </w:pPr>
    <w:rPr>
      <w:b/>
      <w:sz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customStyle="1" w:styleId="Normal1">
    <w:name w:val="Normal1"/>
    <w:qFormat/>
    <w:rPr>
      <w:sz w:val="24"/>
    </w:rPr>
  </w:style>
  <w:style w:type="character" w:styleId="Kpr">
    <w:name w:val="Hyperlink"/>
    <w:uiPriority w:val="99"/>
    <w:qFormat/>
    <w:rPr>
      <w:color w:val="0066CC"/>
      <w:u w:val="single" w:color="0000FF"/>
    </w:rPr>
  </w:style>
  <w:style w:type="character" w:customStyle="1" w:styleId="document-info-data">
    <w:name w:val="document-info-data"/>
  </w:style>
  <w:style w:type="character" w:customStyle="1" w:styleId="document-info-label">
    <w:name w:val="document-info-label"/>
  </w:style>
  <w:style w:type="table" w:styleId="TabloKlavuzu">
    <w:name w:val="Table Grid"/>
    <w:basedOn w:val="TableNormal"/>
    <w:uiPriority w:val="5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tBilgi">
    <w:name w:val="header"/>
    <w:basedOn w:val="Normal"/>
    <w:link w:val="stBilgiChar"/>
    <w:uiPriority w:val="99"/>
    <w:unhideWhenUsed/>
    <w:rsid w:val="00F5521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5219"/>
  </w:style>
  <w:style w:type="paragraph" w:styleId="AltBilgi">
    <w:name w:val="footer"/>
    <w:basedOn w:val="Normal"/>
    <w:link w:val="AltBilgiChar"/>
    <w:uiPriority w:val="99"/>
    <w:unhideWhenUsed/>
    <w:rsid w:val="00F5521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5219"/>
  </w:style>
  <w:style w:type="paragraph" w:styleId="GvdeMetni">
    <w:name w:val="Body Text"/>
    <w:basedOn w:val="Normal"/>
    <w:link w:val="GvdeMetniChar"/>
    <w:uiPriority w:val="1"/>
    <w:qFormat/>
    <w:rsid w:val="00F55219"/>
    <w:pPr>
      <w:widowControl w:val="0"/>
      <w:autoSpaceDE w:val="0"/>
      <w:autoSpaceDN w:val="0"/>
      <w:spacing w:after="0" w:line="240" w:lineRule="auto"/>
    </w:pPr>
    <w:rPr>
      <w:rFonts w:ascii="Times New Roman" w:hAnsi="Times New Roman" w:cs="Times New Roman"/>
      <w:sz w:val="24"/>
      <w:szCs w:val="24"/>
      <w:lang w:eastAsia="en-US"/>
    </w:rPr>
  </w:style>
  <w:style w:type="character" w:customStyle="1" w:styleId="GvdeMetniChar">
    <w:name w:val="Gövde Metni Char"/>
    <w:basedOn w:val="VarsaylanParagrafYazTipi"/>
    <w:link w:val="GvdeMetni"/>
    <w:uiPriority w:val="1"/>
    <w:rsid w:val="00F55219"/>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C8990D37-0647-49FC-A1B5-69ECDDC70C9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1164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2023/1 Sayılı Sermaye Yeterlilik Hesaplamasında Kullanılan Katsayılarda Değişiklik Yapılması Hakkında Genelgede Değişiklik Yapılmasına Dair Genelge</vt:lpstr>
    </vt:vector>
  </TitlesOfParts>
  <Company>Emeklilik Gozetim Merkezi</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2023/1 Sayılı Sermaye Yeterlilik Hesaplamasında Kullanılan Katsayılarda Değişiklik Yapılması Hakkında Genelgede Değişiklik Yapılmasına Dair Genelge</dc:title>
  <dc:subject>Law Document</dc:subject>
  <dc:creator>Lexpera</dc:creator>
  <cp:lastModifiedBy>Bahattin ÖZKAN</cp:lastModifiedBy>
  <cp:revision>5</cp:revision>
  <dcterms:created xsi:type="dcterms:W3CDTF">2023-02-13T12:10:00Z</dcterms:created>
  <dcterms:modified xsi:type="dcterms:W3CDTF">2023-03-02T13:42:00Z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91ee27df-29b2-464b-8a9f-fab445e8b108</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