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C07E0" w14:textId="77777777" w:rsidR="00434F7B" w:rsidRPr="001D7EEF" w:rsidRDefault="00434F7B" w:rsidP="00434F7B">
      <w:pPr>
        <w:widowControl w:val="0"/>
        <w:autoSpaceDE w:val="0"/>
        <w:autoSpaceDN w:val="0"/>
        <w:adjustRightInd w:val="0"/>
        <w:spacing w:after="0" w:line="240" w:lineRule="auto"/>
        <w:ind w:left="170" w:right="170"/>
        <w:rPr>
          <w:b/>
          <w:bCs/>
          <w:sz w:val="20"/>
          <w:u w:val="single"/>
        </w:rPr>
      </w:pPr>
      <w:r w:rsidRPr="001D7EEF">
        <w:rPr>
          <w:b/>
          <w:bCs/>
          <w:sz w:val="20"/>
          <w:u w:val="single"/>
        </w:rPr>
        <w:t>Resmi Gazete Dışından Kaynak</w:t>
      </w:r>
    </w:p>
    <w:p w14:paraId="0E66FD43" w14:textId="77777777" w:rsidR="00434F7B" w:rsidRPr="001030A6" w:rsidRDefault="00434F7B" w:rsidP="00434F7B">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1030A6">
        <w:rPr>
          <w:b/>
          <w:bCs/>
          <w:sz w:val="20"/>
        </w:rPr>
        <w:tab/>
      </w:r>
      <w:r w:rsidR="001030A6">
        <w:rPr>
          <w:b/>
          <w:bCs/>
          <w:sz w:val="20"/>
        </w:rPr>
        <w:tab/>
      </w:r>
      <w:r w:rsidR="001030A6">
        <w:rPr>
          <w:b/>
          <w:bCs/>
          <w:sz w:val="20"/>
        </w:rPr>
        <w:tab/>
      </w:r>
      <w:r w:rsidR="001030A6">
        <w:rPr>
          <w:b/>
          <w:bCs/>
          <w:sz w:val="20"/>
        </w:rPr>
        <w:tab/>
      </w:r>
      <w:r w:rsidR="001030A6">
        <w:rPr>
          <w:b/>
          <w:bCs/>
          <w:sz w:val="20"/>
        </w:rPr>
        <w:tab/>
      </w:r>
      <w:r w:rsidR="001030A6">
        <w:rPr>
          <w:b/>
          <w:bCs/>
          <w:sz w:val="20"/>
        </w:rPr>
        <w:tab/>
      </w:r>
      <w:r w:rsidR="001030A6">
        <w:rPr>
          <w:b/>
          <w:bCs/>
          <w:sz w:val="20"/>
        </w:rPr>
        <w:tab/>
      </w:r>
      <w:r w:rsidR="001030A6">
        <w:rPr>
          <w:b/>
          <w:bCs/>
          <w:sz w:val="20"/>
        </w:rPr>
        <w:tab/>
      </w:r>
      <w:r w:rsidR="001030A6">
        <w:rPr>
          <w:b/>
          <w:bCs/>
          <w:sz w:val="20"/>
          <w:u w:val="single"/>
        </w:rPr>
        <w:t>22.04.</w:t>
      </w:r>
      <w:bookmarkStart w:id="0" w:name="_GoBack"/>
      <w:bookmarkEnd w:id="0"/>
      <w:r w:rsidR="001030A6">
        <w:rPr>
          <w:b/>
          <w:bCs/>
          <w:sz w:val="20"/>
          <w:u w:val="single"/>
        </w:rPr>
        <w:t>2011</w:t>
      </w:r>
    </w:p>
    <w:p w14:paraId="200EA17F" w14:textId="77777777" w:rsidR="00140D38" w:rsidRPr="004F6444" w:rsidRDefault="00140D38" w:rsidP="00434F7B">
      <w:pPr>
        <w:widowControl w:val="0"/>
        <w:autoSpaceDE w:val="0"/>
        <w:autoSpaceDN w:val="0"/>
        <w:adjustRightInd w:val="0"/>
        <w:spacing w:after="0" w:line="240" w:lineRule="auto"/>
        <w:ind w:left="170" w:right="170"/>
        <w:rPr>
          <w:b/>
          <w:bCs/>
          <w:sz w:val="20"/>
          <w:u w:val="single"/>
        </w:rPr>
      </w:pPr>
    </w:p>
    <w:p w14:paraId="6C565AC7" w14:textId="77777777" w:rsidR="00434F7B" w:rsidRDefault="00434F7B" w:rsidP="00140D38">
      <w:pPr>
        <w:pStyle w:val="Balk2"/>
        <w:spacing w:before="0" w:after="0"/>
        <w:jc w:val="center"/>
        <w:rPr>
          <w:sz w:val="24"/>
          <w:szCs w:val="24"/>
        </w:rPr>
      </w:pPr>
      <w:r w:rsidRPr="004F6444">
        <w:rPr>
          <w:sz w:val="24"/>
          <w:szCs w:val="24"/>
        </w:rPr>
        <w:t>2010 VE 2011 YILLARINDA AZMM SONUÇLARININ AŞAMALI OLARAK UYGULANMASI HAKKINDA GENELGE (2011/10)</w:t>
      </w:r>
    </w:p>
    <w:p w14:paraId="47E575BC" w14:textId="77777777" w:rsidR="00140D38" w:rsidRDefault="00140D38" w:rsidP="009E7512">
      <w:pPr>
        <w:spacing w:after="0"/>
      </w:pPr>
    </w:p>
    <w:p w14:paraId="48E2876F" w14:textId="77777777" w:rsidR="00140D38" w:rsidRPr="00140D38" w:rsidRDefault="00140D38" w:rsidP="009E7512">
      <w:pPr>
        <w:spacing w:after="0"/>
      </w:pPr>
    </w:p>
    <w:p w14:paraId="35729ADF" w14:textId="77777777" w:rsidR="00434F7B" w:rsidRPr="00140D38" w:rsidRDefault="00434F7B" w:rsidP="009E7512">
      <w:pPr>
        <w:widowControl w:val="0"/>
        <w:spacing w:after="0"/>
        <w:ind w:left="170" w:right="170"/>
        <w:jc w:val="both"/>
        <w:rPr>
          <w:rFonts w:eastAsiaTheme="minorHAnsi"/>
          <w:color w:val="000000"/>
          <w:kern w:val="16"/>
          <w:sz w:val="20"/>
          <w:lang w:eastAsia="en-US"/>
        </w:rPr>
      </w:pPr>
      <w:r w:rsidRPr="00140D38">
        <w:rPr>
          <w:rFonts w:eastAsiaTheme="minorHAnsi"/>
          <w:color w:val="000000"/>
          <w:kern w:val="16"/>
          <w:sz w:val="20"/>
          <w:lang w:eastAsia="en-US"/>
        </w:rPr>
        <w:t>Bilindiği üzere, Sigorta ve Reasürans ile Emeklilik Şirketlerinin Teknik Karşılıklarına ve Bu Karşılıkların Yatırılacağı Varlıklara İlişkin Yönetmeliğin geçici 3’üncü maddesi hükümleri gereği “</w:t>
      </w:r>
      <w:r w:rsidRPr="00140D38">
        <w:rPr>
          <w:rFonts w:eastAsiaTheme="minorHAnsi"/>
          <w:i/>
          <w:color w:val="000000"/>
          <w:kern w:val="16"/>
          <w:sz w:val="20"/>
          <w:lang w:eastAsia="en-US"/>
        </w:rPr>
        <w:t>AZMM sonuçları, 2010 yılı hesaplamalarında en az %80, 2011 yılı hesaplamalarında en az %90 oranında dikkate alınabilir</w:t>
      </w:r>
      <w:r w:rsidRPr="00140D38">
        <w:rPr>
          <w:rFonts w:eastAsiaTheme="minorHAnsi"/>
          <w:color w:val="000000"/>
          <w:kern w:val="16"/>
          <w:sz w:val="20"/>
          <w:lang w:eastAsia="en-US"/>
        </w:rPr>
        <w:t>.” Ayrıca, 2011/1 sayılı Genelgenin B. Yönetmeliğin Geçici 3’üncü Maddesinin Uygulanması başlıklı bölümden belirtildiği üzere, “</w:t>
      </w:r>
      <w:r w:rsidRPr="00140D38">
        <w:rPr>
          <w:rFonts w:eastAsiaTheme="minorHAnsi"/>
          <w:i/>
          <w:color w:val="000000"/>
          <w:kern w:val="16"/>
          <w:sz w:val="20"/>
          <w:lang w:eastAsia="en-US"/>
        </w:rPr>
        <w:t>şirketlere tanınan aşamalı yükümlülük oranı kullanma imkanı her branş için aynı seviyede uygulanmalıdır. Ayrıca, herhangi bir dönem aşamalı yükümlülük seviyelerinin üzerinde bir oran kullanılmaya başlandığında, sonraki dönemlerde bu oranın düşürülmesi mümkün değildir</w:t>
      </w:r>
      <w:r w:rsidRPr="00140D38">
        <w:rPr>
          <w:rFonts w:eastAsiaTheme="minorHAnsi"/>
          <w:color w:val="000000"/>
          <w:kern w:val="16"/>
          <w:sz w:val="20"/>
          <w:lang w:eastAsia="en-US"/>
        </w:rPr>
        <w:t>.”</w:t>
      </w:r>
    </w:p>
    <w:p w14:paraId="08AC25EC" w14:textId="77777777" w:rsidR="00434F7B" w:rsidRPr="00140D38" w:rsidRDefault="00434F7B" w:rsidP="00140D38">
      <w:pPr>
        <w:widowControl w:val="0"/>
        <w:spacing w:after="0"/>
        <w:ind w:left="170" w:right="170"/>
        <w:jc w:val="both"/>
        <w:rPr>
          <w:rFonts w:eastAsiaTheme="minorHAnsi"/>
          <w:color w:val="000000"/>
          <w:kern w:val="16"/>
          <w:sz w:val="20"/>
          <w:lang w:eastAsia="en-US"/>
        </w:rPr>
      </w:pPr>
      <w:r w:rsidRPr="00140D38">
        <w:rPr>
          <w:rFonts w:eastAsiaTheme="minorHAnsi"/>
          <w:color w:val="000000"/>
          <w:kern w:val="16"/>
          <w:sz w:val="20"/>
          <w:lang w:eastAsia="en-US"/>
        </w:rPr>
        <w:t>Diğer taraftan, 2011 yılı ilk çeyreğine ilişkin hesaplama sonuçlarının doğrudan %90 seviyesinde uygulanması durumunda, tek bir çeyrekte AZMM’den kaynaklanan ani bir etki oluşacağı görülmektedir. Bu etkinin yumuşatılabilmesini teminen, yukarıda bahsedilen genelge hükümleri saklı kalmak kaydıyla, Yönetmeliğin Geçici 3’üncü Maddesinin 2011 yılı birinci çeyreğinde %82,5, ikinci çeyreğinde %85, üçüncü çeyreğinde %87,5 olarak uygulanması, %90 oranının ise yıl sonunda uygulanması, benzeri uygulamanın 2012 yılında da yapılması mümkün bulunmaktadır.</w:t>
      </w:r>
    </w:p>
    <w:p w14:paraId="4F377818" w14:textId="77777777" w:rsidR="00434F7B" w:rsidRDefault="00434F7B" w:rsidP="00434F7B">
      <w:pPr>
        <w:rPr>
          <w:sz w:val="20"/>
        </w:rPr>
      </w:pPr>
    </w:p>
    <w:p w14:paraId="1E0714C0" w14:textId="77777777" w:rsidR="00434F7B" w:rsidRDefault="00434F7B" w:rsidP="00434F7B">
      <w:pPr>
        <w:rPr>
          <w:sz w:val="20"/>
        </w:rPr>
      </w:pPr>
    </w:p>
    <w:tbl>
      <w:tblPr>
        <w:tblStyle w:val="TabloKlavuzu"/>
        <w:tblW w:w="0" w:type="auto"/>
        <w:tblInd w:w="0" w:type="dxa"/>
        <w:tblLook w:val="04A0" w:firstRow="1" w:lastRow="0" w:firstColumn="1" w:lastColumn="0" w:noHBand="0" w:noVBand="1"/>
      </w:tblPr>
      <w:tblGrid>
        <w:gridCol w:w="3016"/>
        <w:gridCol w:w="3020"/>
        <w:gridCol w:w="3020"/>
      </w:tblGrid>
      <w:tr w:rsidR="00434F7B" w:rsidRPr="001D7EEF" w14:paraId="5D40AB48" w14:textId="77777777" w:rsidTr="00467BD5">
        <w:tc>
          <w:tcPr>
            <w:tcW w:w="9224" w:type="dxa"/>
            <w:gridSpan w:val="3"/>
          </w:tcPr>
          <w:p w14:paraId="10B3D009" w14:textId="77777777" w:rsidR="00434F7B" w:rsidRPr="004E3AD7" w:rsidRDefault="00434F7B" w:rsidP="00467BD5">
            <w:pPr>
              <w:jc w:val="center"/>
              <w:rPr>
                <w:b/>
                <w:sz w:val="20"/>
              </w:rPr>
            </w:pPr>
            <w:r w:rsidRPr="004E3AD7">
              <w:rPr>
                <w:b/>
                <w:sz w:val="20"/>
              </w:rPr>
              <w:t>Genelge’nin</w:t>
            </w:r>
          </w:p>
        </w:tc>
      </w:tr>
      <w:tr w:rsidR="00434F7B" w:rsidRPr="001D7EEF" w14:paraId="26685538" w14:textId="77777777" w:rsidTr="00467BD5">
        <w:tc>
          <w:tcPr>
            <w:tcW w:w="3074" w:type="dxa"/>
          </w:tcPr>
          <w:p w14:paraId="14F7C3F9" w14:textId="77777777" w:rsidR="00434F7B" w:rsidRPr="004E3AD7" w:rsidRDefault="00434F7B" w:rsidP="00467BD5">
            <w:pPr>
              <w:jc w:val="center"/>
              <w:rPr>
                <w:b/>
                <w:sz w:val="20"/>
              </w:rPr>
            </w:pPr>
            <w:r w:rsidRPr="004E3AD7">
              <w:rPr>
                <w:b/>
                <w:sz w:val="20"/>
              </w:rPr>
              <w:t>Numarası</w:t>
            </w:r>
          </w:p>
        </w:tc>
        <w:tc>
          <w:tcPr>
            <w:tcW w:w="3075" w:type="dxa"/>
          </w:tcPr>
          <w:p w14:paraId="0025E0A2" w14:textId="77777777" w:rsidR="00434F7B" w:rsidRPr="004E3AD7" w:rsidRDefault="00434F7B" w:rsidP="00467BD5">
            <w:pPr>
              <w:jc w:val="center"/>
              <w:rPr>
                <w:b/>
                <w:sz w:val="20"/>
              </w:rPr>
            </w:pPr>
            <w:r w:rsidRPr="004E3AD7">
              <w:rPr>
                <w:b/>
                <w:sz w:val="20"/>
              </w:rPr>
              <w:t>Kabul Tarihi</w:t>
            </w:r>
          </w:p>
        </w:tc>
        <w:tc>
          <w:tcPr>
            <w:tcW w:w="3075" w:type="dxa"/>
          </w:tcPr>
          <w:p w14:paraId="48274AAB" w14:textId="77777777" w:rsidR="00434F7B" w:rsidRPr="004E3AD7" w:rsidRDefault="00434F7B" w:rsidP="00467BD5">
            <w:pPr>
              <w:jc w:val="center"/>
              <w:rPr>
                <w:b/>
                <w:sz w:val="20"/>
              </w:rPr>
            </w:pPr>
            <w:r w:rsidRPr="004E3AD7">
              <w:rPr>
                <w:b/>
                <w:sz w:val="20"/>
              </w:rPr>
              <w:t>Yürürlüğe Giriş Tarihi</w:t>
            </w:r>
          </w:p>
        </w:tc>
      </w:tr>
      <w:tr w:rsidR="00434F7B" w14:paraId="26F7CC42" w14:textId="77777777" w:rsidTr="00467BD5">
        <w:tc>
          <w:tcPr>
            <w:tcW w:w="3074" w:type="dxa"/>
          </w:tcPr>
          <w:p w14:paraId="0B9A1811" w14:textId="77777777" w:rsidR="00434F7B" w:rsidRPr="004E3AD7" w:rsidRDefault="00434F7B" w:rsidP="00467BD5">
            <w:pPr>
              <w:jc w:val="center"/>
              <w:rPr>
                <w:sz w:val="20"/>
              </w:rPr>
            </w:pPr>
            <w:r w:rsidRPr="004E3AD7">
              <w:rPr>
                <w:sz w:val="20"/>
              </w:rPr>
              <w:t>2011/10</w:t>
            </w:r>
          </w:p>
        </w:tc>
        <w:tc>
          <w:tcPr>
            <w:tcW w:w="3075" w:type="dxa"/>
          </w:tcPr>
          <w:p w14:paraId="319A0C09" w14:textId="77777777" w:rsidR="00434F7B" w:rsidRPr="004E3AD7" w:rsidRDefault="00434F7B" w:rsidP="00467BD5">
            <w:pPr>
              <w:jc w:val="center"/>
              <w:rPr>
                <w:sz w:val="20"/>
              </w:rPr>
            </w:pPr>
            <w:r w:rsidRPr="004E3AD7">
              <w:rPr>
                <w:sz w:val="20"/>
              </w:rPr>
              <w:t>22.04.2011</w:t>
            </w:r>
          </w:p>
        </w:tc>
        <w:tc>
          <w:tcPr>
            <w:tcW w:w="3075" w:type="dxa"/>
          </w:tcPr>
          <w:p w14:paraId="7DCC7029" w14:textId="77777777" w:rsidR="00434F7B" w:rsidRPr="004E3AD7" w:rsidRDefault="00434F7B" w:rsidP="00467BD5">
            <w:pPr>
              <w:jc w:val="center"/>
              <w:rPr>
                <w:sz w:val="20"/>
              </w:rPr>
            </w:pPr>
            <w:r w:rsidRPr="004E3AD7">
              <w:rPr>
                <w:sz w:val="20"/>
              </w:rPr>
              <w:t>22.04.2011</w:t>
            </w:r>
          </w:p>
        </w:tc>
      </w:tr>
    </w:tbl>
    <w:p w14:paraId="0B63C118" w14:textId="77777777"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7372B" w14:textId="77777777" w:rsidR="003B28B7" w:rsidRDefault="003B28B7" w:rsidP="00434F7B">
      <w:pPr>
        <w:spacing w:after="0" w:line="240" w:lineRule="auto"/>
      </w:pPr>
      <w:r>
        <w:separator/>
      </w:r>
    </w:p>
  </w:endnote>
  <w:endnote w:type="continuationSeparator" w:id="0">
    <w:p w14:paraId="7D12D4DC" w14:textId="77777777" w:rsidR="003B28B7" w:rsidRDefault="003B28B7" w:rsidP="0043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325D4" w14:textId="7898CD3E" w:rsidR="00434F7B" w:rsidRPr="001030A6" w:rsidRDefault="001030A6" w:rsidP="001030A6">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6E9A" w14:textId="6441E899" w:rsidR="00434F7B" w:rsidRPr="001030A6" w:rsidRDefault="001030A6" w:rsidP="001030A6">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3291" w14:textId="42790832" w:rsidR="00434F7B" w:rsidRPr="001030A6" w:rsidRDefault="001030A6" w:rsidP="001030A6">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1A8DC" w14:textId="77777777" w:rsidR="003B28B7" w:rsidRDefault="003B28B7" w:rsidP="00434F7B">
      <w:pPr>
        <w:spacing w:after="0" w:line="240" w:lineRule="auto"/>
      </w:pPr>
      <w:r>
        <w:separator/>
      </w:r>
    </w:p>
  </w:footnote>
  <w:footnote w:type="continuationSeparator" w:id="0">
    <w:p w14:paraId="0A75C692" w14:textId="77777777" w:rsidR="003B28B7" w:rsidRDefault="003B28B7" w:rsidP="0043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C36F5" w14:textId="77777777" w:rsidR="00434F7B" w:rsidRDefault="00434F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AF61" w14:textId="77777777" w:rsidR="00434F7B" w:rsidRDefault="00434F7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5731" w14:textId="77777777" w:rsidR="00434F7B" w:rsidRDefault="00434F7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17A"/>
    <w:rsid w:val="001030A6"/>
    <w:rsid w:val="00140D38"/>
    <w:rsid w:val="00343027"/>
    <w:rsid w:val="003B28B7"/>
    <w:rsid w:val="00434F7B"/>
    <w:rsid w:val="004C6E3A"/>
    <w:rsid w:val="009E7512"/>
    <w:rsid w:val="00A07BAF"/>
    <w:rsid w:val="00B531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A320E"/>
  <w15:chartTrackingRefBased/>
  <w15:docId w15:val="{B5F4B544-751B-4704-BB20-424F20AF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7B"/>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434F7B"/>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34F7B"/>
    <w:rPr>
      <w:rFonts w:ascii="Arial" w:eastAsia="Times New Roman" w:hAnsi="Arial" w:cs="Arial"/>
      <w:b/>
      <w:sz w:val="36"/>
      <w:szCs w:val="20"/>
      <w:lang w:eastAsia="tr-TR"/>
    </w:rPr>
  </w:style>
  <w:style w:type="table" w:styleId="TabloKlavuzu">
    <w:name w:val="Table Grid"/>
    <w:basedOn w:val="NormalTablo"/>
    <w:uiPriority w:val="39"/>
    <w:rsid w:val="00434F7B"/>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434F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4F7B"/>
    <w:rPr>
      <w:rFonts w:ascii="Arial" w:eastAsia="Times New Roman" w:hAnsi="Arial" w:cs="Arial"/>
      <w:szCs w:val="20"/>
      <w:lang w:eastAsia="tr-TR"/>
    </w:rPr>
  </w:style>
  <w:style w:type="paragraph" w:styleId="AltBilgi">
    <w:name w:val="footer"/>
    <w:basedOn w:val="Normal"/>
    <w:link w:val="AltBilgiChar"/>
    <w:uiPriority w:val="99"/>
    <w:unhideWhenUsed/>
    <w:rsid w:val="00434F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4F7B"/>
    <w:rPr>
      <w:rFonts w:ascii="Arial" w:eastAsia="Times New Roman" w:hAnsi="Arial" w:cs="Arial"/>
      <w:szCs w:val="20"/>
      <w:lang w:eastAsia="tr-TR"/>
    </w:rPr>
  </w:style>
  <w:style w:type="character" w:customStyle="1" w:styleId="document-info-data">
    <w:name w:val="document-info-data"/>
    <w:rsid w:val="0010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C009718-6EAE-4852-B553-0EF0E0DDE93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226</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7</cp:revision>
  <cp:lastPrinted>2023-08-08T13:02:00Z</cp:lastPrinted>
  <dcterms:created xsi:type="dcterms:W3CDTF">2022-12-15T09:00:00Z</dcterms:created>
  <dcterms:modified xsi:type="dcterms:W3CDTF">2023-08-08T13:02:00Z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6c35de71-7795-48b7-ad39-0c8055f94aeb</vt:lpwstr>
  </op:property>
  <op:property fmtid="{D5CDD505-2E9C-101B-9397-08002B2CF9AE}" pid="3" name="bjSaver">
    <vt:lpwstr>iZryUG4O9W7v4YkSJ4oIH8Eo71bnL+pl</vt:lpwstr>
  </op:property>
  <op:property fmtid="{D5CDD505-2E9C-101B-9397-08002B2CF9AE}" pid="4" name="bjClsUserRVM">
    <vt:lpwstr>[]</vt:lpwstr>
  </op:property>
  <op: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op:property>
  <op:property fmtid="{D5CDD505-2E9C-101B-9397-08002B2CF9AE}" pid="6" name="bjDocumentLabelXML-0">
    <vt:lpwstr>ames.com/2008/01/sie/internal/label"&gt;&lt;element uid="16f479a6-fc80-474c-ab11-d67f073bb2c9" value="" /&gt;&lt;/sisl&gt;</vt:lpwstr>
  </op:property>
  <op:property fmtid="{D5CDD505-2E9C-101B-9397-08002B2CF9AE}" pid="7" name="bjDocumentSecurityLabel">
    <vt:lpwstr>Bu iletinin sınıflandırması Genel</vt:lpwstr>
  </op:property>
  <op:property fmtid="{D5CDD505-2E9C-101B-9397-08002B2CF9AE}" pid="8" name="bjFooterBothDocProperty">
    <vt:lpwstr>Sınıflandırma|Genel</vt:lpwstr>
  </op:property>
  <op:property fmtid="{D5CDD505-2E9C-101B-9397-08002B2CF9AE}" pid="9" name="bjFooterFirstPageDocProperty">
    <vt:lpwstr>Sınıflandırma|Genel</vt:lpwstr>
  </op:property>
  <op:property fmtid="{D5CDD505-2E9C-101B-9397-08002B2CF9AE}" pid="10" name="bjFooterEvenPageDocProperty">
    <vt:lpwstr>Sınıflandırma|Genel</vt:lpwstr>
  </op:property>
</op:Properties>
</file>