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F8979" w14:textId="77777777" w:rsidR="00513681" w:rsidRPr="001D7EEF" w:rsidRDefault="00513681" w:rsidP="00513681">
      <w:pPr>
        <w:widowControl w:val="0"/>
        <w:autoSpaceDE w:val="0"/>
        <w:autoSpaceDN w:val="0"/>
        <w:adjustRightInd w:val="0"/>
        <w:spacing w:after="0" w:line="240" w:lineRule="auto"/>
        <w:ind w:left="170" w:right="170"/>
        <w:rPr>
          <w:b/>
          <w:bCs/>
          <w:sz w:val="20"/>
          <w:u w:val="single"/>
        </w:rPr>
      </w:pPr>
      <w:bookmarkStart w:id="0" w:name="_Toc10203511"/>
      <w:bookmarkStart w:id="1" w:name="_Toc105418678"/>
      <w:r w:rsidRPr="001D7EEF">
        <w:rPr>
          <w:b/>
          <w:bCs/>
          <w:sz w:val="20"/>
          <w:u w:val="single"/>
        </w:rPr>
        <w:t>Resmi Gazete Dışından Kaynak</w:t>
      </w:r>
    </w:p>
    <w:p w14:paraId="0B29B603" w14:textId="77777777" w:rsidR="00513681" w:rsidRPr="00E559BA" w:rsidRDefault="00513681" w:rsidP="00513681">
      <w:pPr>
        <w:widowControl w:val="0"/>
        <w:autoSpaceDE w:val="0"/>
        <w:autoSpaceDN w:val="0"/>
        <w:adjustRightInd w:val="0"/>
        <w:spacing w:after="0" w:line="240" w:lineRule="auto"/>
        <w:ind w:left="170" w:right="170"/>
        <w:rPr>
          <w:b/>
          <w:bCs/>
          <w:sz w:val="20"/>
          <w:u w:val="single"/>
        </w:rPr>
      </w:pPr>
      <w:r w:rsidRPr="001D7EEF">
        <w:rPr>
          <w:b/>
          <w:bCs/>
          <w:sz w:val="20"/>
          <w:u w:val="single"/>
        </w:rPr>
        <w:t>Hazine Müsteşarlığı</w:t>
      </w:r>
      <w:r w:rsidR="00E559BA">
        <w:rPr>
          <w:b/>
          <w:bCs/>
          <w:sz w:val="20"/>
        </w:rPr>
        <w:tab/>
      </w:r>
      <w:bookmarkStart w:id="2" w:name="_GoBack"/>
      <w:bookmarkEnd w:id="2"/>
      <w:r w:rsidR="00E559BA">
        <w:rPr>
          <w:b/>
          <w:bCs/>
          <w:sz w:val="20"/>
        </w:rPr>
        <w:tab/>
      </w:r>
      <w:r w:rsidR="00E559BA">
        <w:rPr>
          <w:b/>
          <w:bCs/>
          <w:sz w:val="20"/>
        </w:rPr>
        <w:tab/>
      </w:r>
      <w:r w:rsidR="00E559BA">
        <w:rPr>
          <w:b/>
          <w:bCs/>
          <w:sz w:val="20"/>
        </w:rPr>
        <w:tab/>
      </w:r>
      <w:r w:rsidR="00E559BA">
        <w:rPr>
          <w:b/>
          <w:bCs/>
          <w:sz w:val="20"/>
        </w:rPr>
        <w:tab/>
      </w:r>
      <w:r w:rsidR="00E559BA">
        <w:rPr>
          <w:b/>
          <w:bCs/>
          <w:sz w:val="20"/>
        </w:rPr>
        <w:tab/>
      </w:r>
      <w:r w:rsidR="00E559BA">
        <w:rPr>
          <w:b/>
          <w:bCs/>
          <w:sz w:val="20"/>
        </w:rPr>
        <w:tab/>
      </w:r>
      <w:r w:rsidR="00E559BA">
        <w:rPr>
          <w:b/>
          <w:bCs/>
          <w:sz w:val="20"/>
        </w:rPr>
        <w:tab/>
      </w:r>
      <w:r w:rsidR="00E559BA">
        <w:rPr>
          <w:b/>
          <w:bCs/>
          <w:sz w:val="20"/>
          <w:u w:val="single"/>
        </w:rPr>
        <w:t>31.08.2010</w:t>
      </w:r>
    </w:p>
    <w:p w14:paraId="5A383667" w14:textId="77777777" w:rsidR="00534FC3" w:rsidRPr="00880335" w:rsidRDefault="00534FC3" w:rsidP="00513681">
      <w:pPr>
        <w:widowControl w:val="0"/>
        <w:autoSpaceDE w:val="0"/>
        <w:autoSpaceDN w:val="0"/>
        <w:adjustRightInd w:val="0"/>
        <w:spacing w:after="0" w:line="240" w:lineRule="auto"/>
        <w:ind w:left="170" w:right="170"/>
        <w:rPr>
          <w:b/>
          <w:bCs/>
          <w:sz w:val="20"/>
          <w:u w:val="single"/>
        </w:rPr>
      </w:pPr>
    </w:p>
    <w:p w14:paraId="398BF8CA" w14:textId="77777777" w:rsidR="00513681" w:rsidRPr="00880335" w:rsidRDefault="00513681" w:rsidP="00534FC3">
      <w:pPr>
        <w:pStyle w:val="Balk2"/>
        <w:spacing w:before="0" w:after="0"/>
        <w:jc w:val="center"/>
        <w:rPr>
          <w:sz w:val="24"/>
          <w:szCs w:val="24"/>
        </w:rPr>
      </w:pPr>
      <w:r w:rsidRPr="00880335">
        <w:rPr>
          <w:sz w:val="24"/>
          <w:szCs w:val="24"/>
        </w:rPr>
        <w:t>SİGORTA VE REASÜRANS İLE EMEKLİLİK ŞİRKETLERİNİN MALİ BÜNYELERİNE İLİŞKİN YÖNETMELİĞİN REASÜRANS POLİTİKALARI BAŞLIKLI 15 İNCİ MADDESİNDE YER ALAN BÖLÜŞMELİ TRETELERDEN KOTPAR REASÜRANS ANLAŞMALARINDA TEK BİR REASÜRÖRE YAPILACAK DEVİR ORANININ HESAPLANMASINA İLİŞKİN GENELGE (2010/11)</w:t>
      </w:r>
      <w:bookmarkEnd w:id="0"/>
      <w:bookmarkEnd w:id="1"/>
    </w:p>
    <w:p w14:paraId="49D44263" w14:textId="77777777" w:rsidR="00513681" w:rsidRPr="00CC480B" w:rsidRDefault="00513681" w:rsidP="00534FC3">
      <w:pPr>
        <w:pStyle w:val="style1"/>
        <w:spacing w:before="0" w:beforeAutospacing="0" w:after="0" w:afterAutospacing="0" w:line="276" w:lineRule="auto"/>
        <w:rPr>
          <w:rFonts w:ascii="Arial" w:hAnsi="Arial" w:cs="Arial"/>
          <w:color w:val="auto"/>
          <w:position w:val="0"/>
          <w:sz w:val="20"/>
          <w:szCs w:val="20"/>
        </w:rPr>
      </w:pPr>
    </w:p>
    <w:p w14:paraId="6F03A41B" w14:textId="77777777" w:rsidR="00513681" w:rsidRPr="00CC480B" w:rsidRDefault="00513681" w:rsidP="00534FC3">
      <w:pPr>
        <w:pStyle w:val="style1"/>
        <w:spacing w:before="0" w:beforeAutospacing="0" w:after="0" w:afterAutospacing="0" w:line="276" w:lineRule="auto"/>
        <w:rPr>
          <w:rFonts w:ascii="Arial" w:hAnsi="Arial" w:cs="Arial"/>
          <w:color w:val="auto"/>
          <w:position w:val="0"/>
          <w:sz w:val="20"/>
          <w:szCs w:val="20"/>
        </w:rPr>
      </w:pPr>
    </w:p>
    <w:p w14:paraId="79BB9F55" w14:textId="77777777" w:rsidR="00513681" w:rsidRPr="00534FC3" w:rsidRDefault="00513681" w:rsidP="00534FC3">
      <w:pPr>
        <w:widowControl w:val="0"/>
        <w:spacing w:after="0"/>
        <w:ind w:left="170" w:right="170"/>
        <w:jc w:val="both"/>
        <w:rPr>
          <w:rFonts w:eastAsiaTheme="minorHAnsi"/>
          <w:color w:val="000000"/>
          <w:kern w:val="16"/>
          <w:sz w:val="20"/>
          <w:lang w:eastAsia="en-US"/>
        </w:rPr>
      </w:pPr>
      <w:r w:rsidRPr="00534FC3">
        <w:rPr>
          <w:rFonts w:eastAsiaTheme="minorHAnsi"/>
          <w:color w:val="000000"/>
          <w:kern w:val="16"/>
          <w:sz w:val="20"/>
          <w:lang w:eastAsia="en-US"/>
        </w:rPr>
        <w:t>Bilindiği üzere, Sigorta ve Reasürans ile Emeklilik Şirketlerinin Mali Bünyelerine İlişkin Yönetmeliğin reasürörlere yapılacak devirleri düzenleyen 15 inci maddesinin üçüncü fıkrasının (a) bendine göre bölüşmeli tretelerde tek bir reasüröre yapılacak devir oranının;</w:t>
      </w:r>
    </w:p>
    <w:p w14:paraId="2DDC8614" w14:textId="77777777" w:rsidR="00513681" w:rsidRPr="00534FC3" w:rsidRDefault="00513681" w:rsidP="00534FC3">
      <w:pPr>
        <w:widowControl w:val="0"/>
        <w:spacing w:after="0"/>
        <w:ind w:left="170" w:right="170"/>
        <w:jc w:val="both"/>
        <w:rPr>
          <w:rFonts w:eastAsiaTheme="minorHAnsi"/>
          <w:color w:val="000000"/>
          <w:kern w:val="16"/>
          <w:sz w:val="20"/>
          <w:lang w:eastAsia="en-US"/>
        </w:rPr>
      </w:pPr>
      <w:r w:rsidRPr="00534FC3">
        <w:rPr>
          <w:rFonts w:eastAsiaTheme="minorHAnsi"/>
          <w:b/>
          <w:color w:val="000000"/>
          <w:kern w:val="16"/>
          <w:sz w:val="20"/>
          <w:lang w:eastAsia="en-US"/>
        </w:rPr>
        <w:t>1)</w:t>
      </w:r>
      <w:r w:rsidRPr="00534FC3">
        <w:rPr>
          <w:rFonts w:eastAsiaTheme="minorHAnsi"/>
          <w:color w:val="000000"/>
          <w:kern w:val="16"/>
          <w:sz w:val="20"/>
          <w:lang w:eastAsia="en-US"/>
        </w:rPr>
        <w:t xml:space="preserve"> Topluluk dışında yer alan ve 2 nci fıkra çerçevesinde belirlenen asgari derecelendirme notu bulunan reasürörler için beher trete  bazında %60’ı aşmaması,</w:t>
      </w:r>
    </w:p>
    <w:p w14:paraId="00106D09" w14:textId="77777777" w:rsidR="00513681" w:rsidRPr="00534FC3" w:rsidRDefault="00513681" w:rsidP="00534FC3">
      <w:pPr>
        <w:widowControl w:val="0"/>
        <w:spacing w:after="0"/>
        <w:ind w:left="170" w:right="170"/>
        <w:jc w:val="both"/>
        <w:rPr>
          <w:rFonts w:eastAsiaTheme="minorHAnsi"/>
          <w:color w:val="000000"/>
          <w:kern w:val="16"/>
          <w:sz w:val="20"/>
          <w:lang w:eastAsia="en-US"/>
        </w:rPr>
      </w:pPr>
      <w:r w:rsidRPr="00534FC3">
        <w:rPr>
          <w:rFonts w:eastAsiaTheme="minorHAnsi"/>
          <w:b/>
          <w:color w:val="000000"/>
          <w:kern w:val="16"/>
          <w:sz w:val="20"/>
          <w:lang w:eastAsia="en-US"/>
        </w:rPr>
        <w:t>2)</w:t>
      </w:r>
      <w:r w:rsidRPr="00534FC3">
        <w:rPr>
          <w:rFonts w:eastAsiaTheme="minorHAnsi"/>
          <w:color w:val="000000"/>
          <w:kern w:val="16"/>
          <w:sz w:val="20"/>
          <w:lang w:eastAsia="en-US"/>
        </w:rPr>
        <w:t xml:space="preserve"> Topluluk içinde yer alan ve 2 nci fıkra çerçevesinde belirlenen asgari derecelendirme notu bulunan reasürörler için beher trete bazında %50’yi aşmaması,</w:t>
      </w:r>
    </w:p>
    <w:p w14:paraId="1133957D" w14:textId="77777777" w:rsidR="00513681" w:rsidRPr="00534FC3" w:rsidRDefault="00513681" w:rsidP="00534FC3">
      <w:pPr>
        <w:widowControl w:val="0"/>
        <w:spacing w:after="0"/>
        <w:ind w:left="170" w:right="170"/>
        <w:jc w:val="both"/>
        <w:rPr>
          <w:rFonts w:eastAsiaTheme="minorHAnsi"/>
          <w:color w:val="000000"/>
          <w:kern w:val="16"/>
          <w:sz w:val="20"/>
          <w:lang w:eastAsia="en-US"/>
        </w:rPr>
      </w:pPr>
      <w:r w:rsidRPr="00534FC3">
        <w:rPr>
          <w:rFonts w:eastAsiaTheme="minorHAnsi"/>
          <w:b/>
          <w:color w:val="000000"/>
          <w:kern w:val="16"/>
          <w:sz w:val="20"/>
          <w:lang w:eastAsia="en-US"/>
        </w:rPr>
        <w:t>3)</w:t>
      </w:r>
      <w:r w:rsidRPr="00534FC3">
        <w:rPr>
          <w:rFonts w:eastAsiaTheme="minorHAnsi"/>
          <w:color w:val="000000"/>
          <w:kern w:val="16"/>
          <w:sz w:val="20"/>
          <w:lang w:eastAsia="en-US"/>
        </w:rPr>
        <w:t xml:space="preserve"> Topluluk içi veya topluluk dışı, 2 nci fıkra çerçevesinde belirlenen asgari derecelendirme notu bulunanlar dışında kalan diğer tüm reasürörler için beher trete bazında %15’i aşmaması</w:t>
      </w:r>
    </w:p>
    <w:p w14:paraId="02FA9E21" w14:textId="77777777" w:rsidR="00513681" w:rsidRPr="00534FC3" w:rsidRDefault="00513681" w:rsidP="00534FC3">
      <w:pPr>
        <w:widowControl w:val="0"/>
        <w:spacing w:after="0"/>
        <w:ind w:left="170" w:right="170"/>
        <w:jc w:val="both"/>
        <w:rPr>
          <w:rFonts w:eastAsiaTheme="minorHAnsi"/>
          <w:color w:val="000000"/>
          <w:kern w:val="16"/>
          <w:sz w:val="20"/>
          <w:lang w:eastAsia="en-US"/>
        </w:rPr>
      </w:pPr>
      <w:r w:rsidRPr="00534FC3">
        <w:rPr>
          <w:rFonts w:eastAsiaTheme="minorHAnsi"/>
          <w:color w:val="000000"/>
          <w:kern w:val="16"/>
          <w:sz w:val="20"/>
          <w:lang w:eastAsia="en-US"/>
        </w:rPr>
        <w:t>gerekmektedir.</w:t>
      </w:r>
    </w:p>
    <w:p w14:paraId="6390FE38" w14:textId="77777777" w:rsidR="00513681" w:rsidRPr="00534FC3" w:rsidRDefault="00513681" w:rsidP="00534FC3">
      <w:pPr>
        <w:widowControl w:val="0"/>
        <w:spacing w:after="0"/>
        <w:ind w:left="170" w:right="170"/>
        <w:jc w:val="both"/>
        <w:rPr>
          <w:rFonts w:eastAsiaTheme="minorHAnsi"/>
          <w:color w:val="000000"/>
          <w:kern w:val="16"/>
          <w:sz w:val="20"/>
          <w:lang w:eastAsia="en-US"/>
        </w:rPr>
      </w:pPr>
      <w:r w:rsidRPr="00534FC3">
        <w:rPr>
          <w:rFonts w:eastAsiaTheme="minorHAnsi"/>
          <w:color w:val="000000"/>
          <w:kern w:val="16"/>
          <w:sz w:val="20"/>
          <w:lang w:eastAsia="en-US"/>
        </w:rPr>
        <w:t>Hal böyle olmakla beraber, bölüşmeli reasürans anlaşmaları kapsamına giren kotpar reasürans anlaşmalarında tek bir reasüröre yapılacak devir oranının hesaplanmasında toplam prim tutarından reasürörün aldığı pay dikkate alınacaktır.</w:t>
      </w:r>
    </w:p>
    <w:p w14:paraId="4C7594C3" w14:textId="77777777" w:rsidR="00513681" w:rsidRDefault="00513681" w:rsidP="00513681">
      <w:pPr>
        <w:rPr>
          <w:sz w:val="20"/>
        </w:rPr>
      </w:pPr>
    </w:p>
    <w:tbl>
      <w:tblPr>
        <w:tblStyle w:val="TabloKlavuzu"/>
        <w:tblW w:w="0" w:type="auto"/>
        <w:tblInd w:w="0" w:type="dxa"/>
        <w:tblLook w:val="04A0" w:firstRow="1" w:lastRow="0" w:firstColumn="1" w:lastColumn="0" w:noHBand="0" w:noVBand="1"/>
      </w:tblPr>
      <w:tblGrid>
        <w:gridCol w:w="3016"/>
        <w:gridCol w:w="3020"/>
        <w:gridCol w:w="3020"/>
      </w:tblGrid>
      <w:tr w:rsidR="00513681" w:rsidRPr="001D7EEF" w14:paraId="7C8DCD69" w14:textId="77777777" w:rsidTr="00467BD5">
        <w:tc>
          <w:tcPr>
            <w:tcW w:w="9224" w:type="dxa"/>
            <w:gridSpan w:val="3"/>
          </w:tcPr>
          <w:p w14:paraId="55D8E31E" w14:textId="77777777" w:rsidR="00513681" w:rsidRPr="00896DD4" w:rsidRDefault="00513681" w:rsidP="00467BD5">
            <w:pPr>
              <w:jc w:val="center"/>
              <w:rPr>
                <w:b/>
                <w:sz w:val="20"/>
              </w:rPr>
            </w:pPr>
            <w:r w:rsidRPr="00896DD4">
              <w:rPr>
                <w:b/>
                <w:sz w:val="20"/>
              </w:rPr>
              <w:t>Genelge’nin</w:t>
            </w:r>
          </w:p>
        </w:tc>
      </w:tr>
      <w:tr w:rsidR="00513681" w:rsidRPr="001D7EEF" w14:paraId="0D9C4874" w14:textId="77777777" w:rsidTr="00467BD5">
        <w:tc>
          <w:tcPr>
            <w:tcW w:w="3074" w:type="dxa"/>
          </w:tcPr>
          <w:p w14:paraId="670E3B57" w14:textId="77777777" w:rsidR="00513681" w:rsidRPr="00896DD4" w:rsidRDefault="00513681" w:rsidP="00467BD5">
            <w:pPr>
              <w:jc w:val="center"/>
              <w:rPr>
                <w:b/>
                <w:sz w:val="20"/>
              </w:rPr>
            </w:pPr>
            <w:r w:rsidRPr="00896DD4">
              <w:rPr>
                <w:b/>
                <w:sz w:val="20"/>
              </w:rPr>
              <w:t>Numarası</w:t>
            </w:r>
          </w:p>
        </w:tc>
        <w:tc>
          <w:tcPr>
            <w:tcW w:w="3075" w:type="dxa"/>
          </w:tcPr>
          <w:p w14:paraId="28075EBC" w14:textId="77777777" w:rsidR="00513681" w:rsidRPr="00896DD4" w:rsidRDefault="00513681" w:rsidP="00467BD5">
            <w:pPr>
              <w:jc w:val="center"/>
              <w:rPr>
                <w:b/>
                <w:sz w:val="20"/>
              </w:rPr>
            </w:pPr>
            <w:r w:rsidRPr="00896DD4">
              <w:rPr>
                <w:b/>
                <w:sz w:val="20"/>
              </w:rPr>
              <w:t>Kabul Tarihi</w:t>
            </w:r>
          </w:p>
        </w:tc>
        <w:tc>
          <w:tcPr>
            <w:tcW w:w="3075" w:type="dxa"/>
          </w:tcPr>
          <w:p w14:paraId="3DCA1BE0" w14:textId="77777777" w:rsidR="00513681" w:rsidRPr="00896DD4" w:rsidRDefault="00513681" w:rsidP="00467BD5">
            <w:pPr>
              <w:jc w:val="center"/>
              <w:rPr>
                <w:b/>
                <w:sz w:val="20"/>
              </w:rPr>
            </w:pPr>
            <w:r w:rsidRPr="00896DD4">
              <w:rPr>
                <w:b/>
                <w:sz w:val="20"/>
              </w:rPr>
              <w:t>Yürürlüğe Giriş Tarihi</w:t>
            </w:r>
          </w:p>
        </w:tc>
      </w:tr>
      <w:tr w:rsidR="00513681" w14:paraId="0E0BCEB6" w14:textId="77777777" w:rsidTr="00467BD5">
        <w:tc>
          <w:tcPr>
            <w:tcW w:w="3074" w:type="dxa"/>
          </w:tcPr>
          <w:p w14:paraId="3F944915" w14:textId="77777777" w:rsidR="00513681" w:rsidRPr="00896DD4" w:rsidRDefault="00513681" w:rsidP="00467BD5">
            <w:pPr>
              <w:jc w:val="center"/>
              <w:rPr>
                <w:sz w:val="20"/>
              </w:rPr>
            </w:pPr>
            <w:r w:rsidRPr="00896DD4">
              <w:rPr>
                <w:sz w:val="20"/>
              </w:rPr>
              <w:t>2010/11</w:t>
            </w:r>
          </w:p>
        </w:tc>
        <w:tc>
          <w:tcPr>
            <w:tcW w:w="3075" w:type="dxa"/>
          </w:tcPr>
          <w:p w14:paraId="36C47449" w14:textId="77777777" w:rsidR="00513681" w:rsidRPr="00896DD4" w:rsidRDefault="00513681" w:rsidP="00467BD5">
            <w:pPr>
              <w:jc w:val="center"/>
              <w:rPr>
                <w:sz w:val="20"/>
              </w:rPr>
            </w:pPr>
            <w:r w:rsidRPr="00896DD4">
              <w:rPr>
                <w:sz w:val="20"/>
              </w:rPr>
              <w:t>31.08.2010</w:t>
            </w:r>
          </w:p>
        </w:tc>
        <w:tc>
          <w:tcPr>
            <w:tcW w:w="3075" w:type="dxa"/>
          </w:tcPr>
          <w:p w14:paraId="29ADDD34" w14:textId="77777777" w:rsidR="00513681" w:rsidRPr="00896DD4" w:rsidRDefault="00513681" w:rsidP="00467BD5">
            <w:pPr>
              <w:jc w:val="center"/>
              <w:rPr>
                <w:sz w:val="20"/>
              </w:rPr>
            </w:pPr>
            <w:r w:rsidRPr="00896DD4">
              <w:rPr>
                <w:sz w:val="20"/>
              </w:rPr>
              <w:t>31.08.2010</w:t>
            </w:r>
          </w:p>
        </w:tc>
      </w:tr>
    </w:tbl>
    <w:p w14:paraId="7605E625" w14:textId="77777777" w:rsidR="00343027" w:rsidRDefault="00343027"/>
    <w:sectPr w:rsidR="003430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745FC" w14:textId="77777777" w:rsidR="00986E99" w:rsidRDefault="00986E99" w:rsidP="00513681">
      <w:pPr>
        <w:spacing w:after="0" w:line="240" w:lineRule="auto"/>
      </w:pPr>
      <w:r>
        <w:separator/>
      </w:r>
    </w:p>
  </w:endnote>
  <w:endnote w:type="continuationSeparator" w:id="0">
    <w:p w14:paraId="2326A79E" w14:textId="77777777" w:rsidR="00986E99" w:rsidRDefault="00986E99" w:rsidP="00513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9637B" w14:textId="01978629" w:rsidR="00513681" w:rsidRPr="00E559BA" w:rsidRDefault="00E559BA" w:rsidP="00E559BA">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1133E" w14:textId="3F8CBB10" w:rsidR="00513681" w:rsidRPr="00E559BA" w:rsidRDefault="00E559BA" w:rsidP="00E559BA">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52D64" w14:textId="02559CD4" w:rsidR="00513681" w:rsidRPr="00E559BA" w:rsidRDefault="00E559BA" w:rsidP="00E559BA">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66C1B" w14:textId="77777777" w:rsidR="00986E99" w:rsidRDefault="00986E99" w:rsidP="00513681">
      <w:pPr>
        <w:spacing w:after="0" w:line="240" w:lineRule="auto"/>
      </w:pPr>
      <w:r>
        <w:separator/>
      </w:r>
    </w:p>
  </w:footnote>
  <w:footnote w:type="continuationSeparator" w:id="0">
    <w:p w14:paraId="0C6DE0A4" w14:textId="77777777" w:rsidR="00986E99" w:rsidRDefault="00986E99" w:rsidP="00513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3C763" w14:textId="77777777" w:rsidR="00513681" w:rsidRDefault="0051368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8CE9" w14:textId="77777777" w:rsidR="00513681" w:rsidRDefault="0051368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4F43F" w14:textId="77777777" w:rsidR="00513681" w:rsidRDefault="0051368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EA"/>
    <w:rsid w:val="00343027"/>
    <w:rsid w:val="00513681"/>
    <w:rsid w:val="00534FC3"/>
    <w:rsid w:val="00694E40"/>
    <w:rsid w:val="007F77EA"/>
    <w:rsid w:val="00986E99"/>
    <w:rsid w:val="00B80AB4"/>
    <w:rsid w:val="00E55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CC600"/>
  <w15:chartTrackingRefBased/>
  <w15:docId w15:val="{03D410EC-9F12-409E-8DB0-BFE4E528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681"/>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513681"/>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13681"/>
    <w:rPr>
      <w:rFonts w:ascii="Arial" w:eastAsia="Times New Roman" w:hAnsi="Arial" w:cs="Arial"/>
      <w:b/>
      <w:sz w:val="36"/>
      <w:szCs w:val="20"/>
      <w:lang w:eastAsia="tr-TR"/>
    </w:rPr>
  </w:style>
  <w:style w:type="table" w:styleId="TabloKlavuzu">
    <w:name w:val="Table Grid"/>
    <w:basedOn w:val="NormalTablo"/>
    <w:uiPriority w:val="39"/>
    <w:rsid w:val="00513681"/>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customStyle="1" w:styleId="style1">
    <w:name w:val="style1"/>
    <w:basedOn w:val="Normal"/>
    <w:rsid w:val="00513681"/>
    <w:pPr>
      <w:spacing w:before="100" w:beforeAutospacing="1" w:after="100" w:afterAutospacing="1" w:line="240" w:lineRule="atLeast"/>
      <w:jc w:val="both"/>
    </w:pPr>
    <w:rPr>
      <w:rFonts w:ascii="Verdana" w:hAnsi="Verdana" w:cs="Times New Roman"/>
      <w:noProof/>
      <w:color w:val="CC0000"/>
      <w:kern w:val="16"/>
      <w:position w:val="24"/>
      <w:sz w:val="16"/>
      <w:szCs w:val="16"/>
    </w:rPr>
  </w:style>
  <w:style w:type="paragraph" w:styleId="stBilgi">
    <w:name w:val="header"/>
    <w:basedOn w:val="Normal"/>
    <w:link w:val="stBilgiChar"/>
    <w:uiPriority w:val="99"/>
    <w:unhideWhenUsed/>
    <w:rsid w:val="0051368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3681"/>
    <w:rPr>
      <w:rFonts w:ascii="Arial" w:eastAsia="Times New Roman" w:hAnsi="Arial" w:cs="Arial"/>
      <w:szCs w:val="20"/>
      <w:lang w:eastAsia="tr-TR"/>
    </w:rPr>
  </w:style>
  <w:style w:type="paragraph" w:styleId="AltBilgi">
    <w:name w:val="footer"/>
    <w:basedOn w:val="Normal"/>
    <w:link w:val="AltBilgiChar"/>
    <w:uiPriority w:val="99"/>
    <w:unhideWhenUsed/>
    <w:rsid w:val="005136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3681"/>
    <w:rPr>
      <w:rFonts w:ascii="Arial" w:eastAsia="Times New Roman" w:hAnsi="Arial" w:cs="Arial"/>
      <w:szCs w:val="20"/>
      <w:lang w:eastAsia="tr-TR"/>
    </w:rPr>
  </w:style>
  <w:style w:type="character" w:customStyle="1" w:styleId="document-info-data">
    <w:name w:val="document-info-data"/>
    <w:rsid w:val="00E55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F0852099-D1AD-47B4-BEE9-50B336BD9FA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217</Words>
  <Characters>1243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cp:lastPrinted>2023-08-08T12:48:00Z</cp:lastPrinted>
  <dcterms:created xsi:type="dcterms:W3CDTF">2022-12-15T08:21:00Z</dcterms:created>
  <dcterms:modified xsi:type="dcterms:W3CDTF">2023-08-08T12:48:00Z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ded081f9-5f9b-443c-93f2-43b6060c7612</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