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DF8C5" w14:textId="6504F8B4" w:rsidR="00A32A68" w:rsidRPr="00A32A68" w:rsidRDefault="00A32A68" w:rsidP="00A32A68">
      <w:pPr>
        <w:widowControl w:val="0"/>
        <w:autoSpaceDE w:val="0"/>
        <w:autoSpaceDN w:val="0"/>
        <w:adjustRightInd w:val="0"/>
        <w:ind w:left="170" w:right="170"/>
        <w:jc w:val="left"/>
        <w:rPr>
          <w:rFonts w:ascii="Arial" w:eastAsiaTheme="minorHAnsi" w:hAnsi="Arial" w:cs="Arial"/>
          <w:b/>
          <w:bCs/>
          <w:noProof w:val="0"/>
          <w:kern w:val="0"/>
          <w:position w:val="0"/>
          <w:sz w:val="20"/>
          <w:szCs w:val="22"/>
          <w:u w:val="single"/>
        </w:rPr>
      </w:pPr>
      <w:r w:rsidRPr="00A32A68">
        <w:rPr>
          <w:rFonts w:ascii="Arial" w:eastAsiaTheme="minorHAnsi" w:hAnsi="Arial" w:cs="Arial"/>
          <w:b/>
          <w:bCs/>
          <w:noProof w:val="0"/>
          <w:kern w:val="0"/>
          <w:position w:val="0"/>
          <w:sz w:val="20"/>
          <w:szCs w:val="22"/>
          <w:u w:val="single"/>
        </w:rPr>
        <w:t>Resmi Gazete Dışından Kaynak</w:t>
      </w:r>
    </w:p>
    <w:p w14:paraId="00B583ED" w14:textId="6DDCB6CE" w:rsidR="00A32A68" w:rsidRPr="00A32A68" w:rsidRDefault="00A32A68" w:rsidP="00A32A68">
      <w:pPr>
        <w:widowControl w:val="0"/>
        <w:autoSpaceDE w:val="0"/>
        <w:autoSpaceDN w:val="0"/>
        <w:adjustRightInd w:val="0"/>
        <w:ind w:left="170" w:right="170"/>
        <w:jc w:val="left"/>
        <w:rPr>
          <w:rFonts w:ascii="Arial" w:eastAsiaTheme="minorHAnsi" w:hAnsi="Arial" w:cs="Arial"/>
          <w:b/>
          <w:bCs/>
          <w:noProof w:val="0"/>
          <w:kern w:val="0"/>
          <w:position w:val="0"/>
          <w:sz w:val="20"/>
          <w:szCs w:val="22"/>
        </w:rPr>
      </w:pPr>
      <w:r w:rsidRPr="00A32A68">
        <w:rPr>
          <w:rFonts w:ascii="Arial" w:eastAsiaTheme="minorHAnsi" w:hAnsi="Arial" w:cs="Arial"/>
          <w:b/>
          <w:bCs/>
          <w:noProof w:val="0"/>
          <w:kern w:val="0"/>
          <w:position w:val="0"/>
          <w:sz w:val="20"/>
          <w:szCs w:val="22"/>
          <w:u w:val="single"/>
        </w:rPr>
        <w:t>Hazine Müsteşarlığından</w:t>
      </w:r>
      <w:r>
        <w:rPr>
          <w:rFonts w:ascii="Arial" w:eastAsiaTheme="minorHAnsi" w:hAnsi="Arial" w:cs="Arial"/>
          <w:b/>
          <w:bCs/>
          <w:noProof w:val="0"/>
          <w:kern w:val="0"/>
          <w:position w:val="0"/>
          <w:sz w:val="20"/>
          <w:szCs w:val="22"/>
        </w:rPr>
        <w:tab/>
      </w:r>
      <w:r>
        <w:rPr>
          <w:rFonts w:ascii="Arial" w:eastAsiaTheme="minorHAnsi" w:hAnsi="Arial" w:cs="Arial"/>
          <w:b/>
          <w:bCs/>
          <w:noProof w:val="0"/>
          <w:kern w:val="0"/>
          <w:position w:val="0"/>
          <w:sz w:val="20"/>
          <w:szCs w:val="22"/>
        </w:rPr>
        <w:tab/>
      </w:r>
      <w:r>
        <w:rPr>
          <w:rFonts w:ascii="Arial" w:eastAsiaTheme="minorHAnsi" w:hAnsi="Arial" w:cs="Arial"/>
          <w:b/>
          <w:bCs/>
          <w:noProof w:val="0"/>
          <w:kern w:val="0"/>
          <w:position w:val="0"/>
          <w:sz w:val="20"/>
          <w:szCs w:val="22"/>
        </w:rPr>
        <w:tab/>
      </w:r>
      <w:r>
        <w:rPr>
          <w:rFonts w:ascii="Arial" w:eastAsiaTheme="minorHAnsi" w:hAnsi="Arial" w:cs="Arial"/>
          <w:b/>
          <w:bCs/>
          <w:noProof w:val="0"/>
          <w:kern w:val="0"/>
          <w:position w:val="0"/>
          <w:sz w:val="20"/>
          <w:szCs w:val="22"/>
        </w:rPr>
        <w:tab/>
      </w:r>
      <w:r>
        <w:rPr>
          <w:rFonts w:ascii="Arial" w:eastAsiaTheme="minorHAnsi" w:hAnsi="Arial" w:cs="Arial"/>
          <w:b/>
          <w:bCs/>
          <w:noProof w:val="0"/>
          <w:kern w:val="0"/>
          <w:position w:val="0"/>
          <w:sz w:val="20"/>
          <w:szCs w:val="22"/>
        </w:rPr>
        <w:tab/>
      </w:r>
      <w:r>
        <w:rPr>
          <w:rFonts w:ascii="Arial" w:eastAsiaTheme="minorHAnsi" w:hAnsi="Arial" w:cs="Arial"/>
          <w:b/>
          <w:bCs/>
          <w:noProof w:val="0"/>
          <w:kern w:val="0"/>
          <w:position w:val="0"/>
          <w:sz w:val="20"/>
          <w:szCs w:val="22"/>
        </w:rPr>
        <w:tab/>
      </w:r>
      <w:r>
        <w:rPr>
          <w:rFonts w:ascii="Arial" w:eastAsiaTheme="minorHAnsi" w:hAnsi="Arial" w:cs="Arial"/>
          <w:b/>
          <w:bCs/>
          <w:noProof w:val="0"/>
          <w:kern w:val="0"/>
          <w:position w:val="0"/>
          <w:sz w:val="20"/>
          <w:szCs w:val="22"/>
        </w:rPr>
        <w:tab/>
        <w:t>09.08.2010</w:t>
      </w:r>
    </w:p>
    <w:p w14:paraId="5A2191FD" w14:textId="1FCC6E70" w:rsidR="00A32A68" w:rsidRPr="00BE4C30" w:rsidRDefault="00A32A68" w:rsidP="00A32A68">
      <w:pPr>
        <w:widowControl w:val="0"/>
        <w:autoSpaceDE w:val="0"/>
        <w:autoSpaceDN w:val="0"/>
        <w:adjustRightInd w:val="0"/>
        <w:spacing w:line="276" w:lineRule="auto"/>
        <w:ind w:left="170" w:right="170"/>
        <w:jc w:val="left"/>
        <w:rPr>
          <w:rFonts w:ascii="Arial" w:hAnsi="Arial" w:cs="Arial"/>
          <w:b/>
          <w:sz w:val="20"/>
          <w:szCs w:val="20"/>
          <w:u w:val="single"/>
        </w:rPr>
      </w:pPr>
      <w:r w:rsidRPr="00BE4C30">
        <w:rPr>
          <w:rFonts w:ascii="Arial" w:hAnsi="Arial" w:cs="Arial"/>
          <w:b/>
          <w:sz w:val="20"/>
          <w:szCs w:val="20"/>
        </w:rPr>
        <w:tab/>
      </w:r>
      <w:r w:rsidRPr="00BE4C30">
        <w:rPr>
          <w:rFonts w:ascii="Arial" w:hAnsi="Arial" w:cs="Arial"/>
          <w:b/>
          <w:sz w:val="20"/>
          <w:szCs w:val="20"/>
        </w:rPr>
        <w:tab/>
      </w:r>
      <w:r w:rsidRPr="00BE4C30">
        <w:rPr>
          <w:rFonts w:ascii="Arial" w:hAnsi="Arial" w:cs="Arial"/>
          <w:b/>
          <w:sz w:val="20"/>
          <w:szCs w:val="20"/>
        </w:rPr>
        <w:tab/>
      </w:r>
      <w:r w:rsidRPr="00BE4C30">
        <w:rPr>
          <w:rFonts w:ascii="Arial" w:hAnsi="Arial" w:cs="Arial"/>
          <w:b/>
          <w:sz w:val="20"/>
          <w:szCs w:val="20"/>
        </w:rPr>
        <w:tab/>
      </w:r>
      <w:r w:rsidRPr="00BE4C30">
        <w:rPr>
          <w:rFonts w:ascii="Arial" w:hAnsi="Arial" w:cs="Arial"/>
          <w:b/>
          <w:sz w:val="20"/>
          <w:szCs w:val="20"/>
        </w:rPr>
        <w:tab/>
      </w:r>
      <w:r w:rsidRPr="00BE4C30">
        <w:rPr>
          <w:rFonts w:ascii="Arial" w:hAnsi="Arial" w:cs="Arial"/>
          <w:b/>
          <w:sz w:val="20"/>
          <w:szCs w:val="20"/>
        </w:rPr>
        <w:tab/>
        <w:t xml:space="preserve">                            </w:t>
      </w:r>
    </w:p>
    <w:p w14:paraId="54EA6B0E" w14:textId="77777777" w:rsidR="00A32A68" w:rsidRPr="009F152B" w:rsidRDefault="00A32A68" w:rsidP="00A32A68">
      <w:pPr>
        <w:pStyle w:val="Balk2"/>
        <w:spacing w:line="276" w:lineRule="auto"/>
      </w:pPr>
      <w:bookmarkStart w:id="0" w:name="_Toc105418676"/>
      <w:r w:rsidRPr="009F152B">
        <w:t>SİGORTACILIK TEK DÜZEN HESAP PLANI ÇERÇEVESİNDE HAZIRLANMAKTA OLAN FİNANSAL TABLOLARDA KULLANILAN ANAHTARLARIN USUL VE ESASLARINA İLİŞKİN GENELGEDE DEĞİŞİKLİK YAPILMASINA İLİŞKİN GENELGE     (2010/ 9)</w:t>
      </w:r>
      <w:bookmarkEnd w:id="0"/>
    </w:p>
    <w:p w14:paraId="4019D140" w14:textId="5B61F646" w:rsidR="00A32A68" w:rsidRDefault="00A32A68" w:rsidP="00A32A68">
      <w:pPr>
        <w:ind w:left="720" w:right="688"/>
        <w:rPr>
          <w:rFonts w:ascii="Arial" w:hAnsi="Arial" w:cs="Arial"/>
          <w:sz w:val="22"/>
          <w:szCs w:val="22"/>
        </w:rPr>
      </w:pPr>
    </w:p>
    <w:p w14:paraId="5831CE85" w14:textId="77777777" w:rsidR="00A32A68" w:rsidRPr="009F152B" w:rsidRDefault="00A32A68" w:rsidP="00A32A68">
      <w:pPr>
        <w:ind w:left="720" w:right="688"/>
        <w:rPr>
          <w:rFonts w:ascii="Arial" w:hAnsi="Arial" w:cs="Arial"/>
          <w:sz w:val="22"/>
          <w:szCs w:val="22"/>
        </w:rPr>
      </w:pPr>
      <w:bookmarkStart w:id="1" w:name="_GoBack"/>
      <w:bookmarkEnd w:id="1"/>
    </w:p>
    <w:p w14:paraId="397D63EF" w14:textId="73F720D0"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r w:rsidRPr="00A32A68">
        <w:rPr>
          <w:rFonts w:ascii="Arial" w:eastAsiaTheme="minorHAnsi" w:hAnsi="Arial" w:cs="Arial"/>
          <w:noProof w:val="0"/>
          <w:color w:val="000000"/>
          <w:position w:val="0"/>
          <w:sz w:val="20"/>
          <w:szCs w:val="20"/>
        </w:rPr>
        <w:t>Bilindiği üzere; şirketlerce Sigortacılık Tek Düzen Hesap Planı çerçevesinde hazırlanmakta olan finansal tablolarda kullanılacak anahtara ilişkin usul ve esaslar 2008/1 sayılı Genelge ile belirlenmişti. Bu defa; söz konusu Genelge’nin 3 üncü maddesinin (a) bendi aşağıdaki şekilde değiştirilmiş ve (d) bendi eklenmiştir.</w:t>
      </w:r>
    </w:p>
    <w:p w14:paraId="1A6F9FF1" w14:textId="77777777" w:rsidR="00A32A68" w:rsidRPr="00C50362" w:rsidRDefault="00A32A68" w:rsidP="00A32A68">
      <w:pPr>
        <w:ind w:right="688"/>
        <w:rPr>
          <w:rFonts w:ascii="Arial" w:hAnsi="Arial" w:cs="Arial"/>
          <w:kern w:val="0"/>
          <w:position w:val="0"/>
          <w:sz w:val="20"/>
          <w:szCs w:val="20"/>
        </w:rPr>
      </w:pPr>
    </w:p>
    <w:p w14:paraId="4757AB67" w14:textId="77777777" w:rsidR="00A32A68" w:rsidRPr="00A32A68" w:rsidRDefault="00A32A68" w:rsidP="00A32A68">
      <w:pPr>
        <w:widowControl w:val="0"/>
        <w:spacing w:line="276" w:lineRule="auto"/>
        <w:ind w:left="170" w:right="170"/>
        <w:rPr>
          <w:rFonts w:ascii="Arial" w:eastAsiaTheme="minorHAnsi" w:hAnsi="Arial" w:cs="Arial"/>
          <w:b/>
          <w:noProof w:val="0"/>
          <w:color w:val="000000"/>
          <w:position w:val="0"/>
          <w:sz w:val="20"/>
          <w:szCs w:val="20"/>
        </w:rPr>
      </w:pPr>
      <w:r w:rsidRPr="00A32A68">
        <w:rPr>
          <w:rFonts w:ascii="Arial" w:eastAsiaTheme="minorHAnsi" w:hAnsi="Arial" w:cs="Arial"/>
          <w:b/>
          <w:noProof w:val="0"/>
          <w:color w:val="000000"/>
          <w:position w:val="0"/>
          <w:sz w:val="20"/>
          <w:szCs w:val="20"/>
        </w:rPr>
        <w:t xml:space="preserve">“3) Teknik bölüme ilişkin </w:t>
      </w:r>
      <w:r w:rsidRPr="00A32A68">
        <w:rPr>
          <w:rFonts w:ascii="Arial" w:eastAsiaTheme="minorHAnsi" w:hAnsi="Arial" w:cs="Arial"/>
          <w:b/>
          <w:noProof w:val="0"/>
          <w:color w:val="000000"/>
          <w:position w:val="0"/>
          <w:sz w:val="20"/>
          <w:szCs w:val="20"/>
          <w:u w:val="single"/>
        </w:rPr>
        <w:t>personel, yönetim, araştırma ve geliştirme, pazarlama ve satış, dışarıdan sağlanan fayda ve hizmet giderleri ile diğer faaliyet giderlerinin</w:t>
      </w:r>
      <w:r w:rsidRPr="00A32A68">
        <w:rPr>
          <w:rFonts w:ascii="Arial" w:eastAsiaTheme="minorHAnsi" w:hAnsi="Arial" w:cs="Arial"/>
          <w:b/>
          <w:noProof w:val="0"/>
          <w:color w:val="000000"/>
          <w:position w:val="0"/>
          <w:sz w:val="20"/>
          <w:szCs w:val="20"/>
        </w:rPr>
        <w:t xml:space="preserve"> hayat dışı, hayat ve emeklilik branşları arasında dağıtımı : </w:t>
      </w:r>
    </w:p>
    <w:p w14:paraId="095779DE" w14:textId="77777777" w:rsidR="00A32A68" w:rsidRPr="00C50362" w:rsidRDefault="00A32A68" w:rsidP="00A32A68">
      <w:pPr>
        <w:ind w:right="-29"/>
        <w:rPr>
          <w:rFonts w:ascii="Arial" w:hAnsi="Arial" w:cs="Arial"/>
          <w:kern w:val="0"/>
          <w:position w:val="0"/>
          <w:sz w:val="20"/>
          <w:szCs w:val="20"/>
        </w:rPr>
      </w:pPr>
    </w:p>
    <w:p w14:paraId="7BEAFF41" w14:textId="00E8F6D2"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r w:rsidRPr="00A32A68">
        <w:rPr>
          <w:rFonts w:ascii="Arial" w:eastAsiaTheme="minorHAnsi" w:hAnsi="Arial" w:cs="Arial"/>
          <w:noProof w:val="0"/>
          <w:color w:val="000000"/>
          <w:position w:val="0"/>
          <w:sz w:val="20"/>
          <w:szCs w:val="20"/>
        </w:rPr>
        <w:t xml:space="preserve">a) Teknik bölüm faaliyet giderleri öncelikle Emeklilik ve Sigorta bölümlerine son 3 yılda her dönem sonu itibarıyla yürürlükte olan poliçe ve emeklilik sözleşme sayısı oranı ile son 3 yılda üretilen katkı payı ve kazanılmış prim oranının aritmetik ortalamasına göre paylaştırılır. </w:t>
      </w:r>
    </w:p>
    <w:p w14:paraId="014F5701"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p>
    <w:p w14:paraId="5BC9748A"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r w:rsidRPr="00A32A68">
        <w:rPr>
          <w:rFonts w:ascii="Arial" w:eastAsiaTheme="minorHAnsi" w:hAnsi="Arial" w:cs="Arial"/>
          <w:noProof w:val="0"/>
          <w:color w:val="000000"/>
          <w:position w:val="0"/>
          <w:sz w:val="20"/>
          <w:szCs w:val="20"/>
        </w:rPr>
        <w:t>[Emeklilik Gider Payı = (Adet Oranı + Tutar Oranı) / 2</w:t>
      </w:r>
    </w:p>
    <w:p w14:paraId="5A88AE4B"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p>
    <w:p w14:paraId="48936895"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r w:rsidRPr="00A32A68">
        <w:rPr>
          <w:rFonts w:ascii="Arial" w:eastAsiaTheme="minorHAnsi" w:hAnsi="Arial" w:cs="Arial"/>
          <w:noProof w:val="0"/>
          <w:color w:val="000000"/>
          <w:position w:val="0"/>
          <w:sz w:val="20"/>
          <w:szCs w:val="20"/>
        </w:rPr>
        <w:t xml:space="preserve">Adet Oranı = 3 yıllık emeklilik sözleşmesi sayısı / (3 yıllık emeklilik sözleşmesi sayısı + 3 yıllık poliçe sayısı) </w:t>
      </w:r>
    </w:p>
    <w:p w14:paraId="5A200733"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p>
    <w:p w14:paraId="19C11F06"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r w:rsidRPr="00A32A68">
        <w:rPr>
          <w:rFonts w:ascii="Arial" w:eastAsiaTheme="minorHAnsi" w:hAnsi="Arial" w:cs="Arial"/>
          <w:noProof w:val="0"/>
          <w:color w:val="000000"/>
          <w:position w:val="0"/>
          <w:sz w:val="20"/>
          <w:szCs w:val="20"/>
        </w:rPr>
        <w:t>Tutar Oranı = 3 yıllık katkı payı tutarı / (3 yıllık katkı payı tutarı + 3 yıllık kazanılan prim tutarı)]</w:t>
      </w:r>
    </w:p>
    <w:p w14:paraId="20CFE773"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p>
    <w:p w14:paraId="62EED814"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r w:rsidRPr="00A32A68">
        <w:rPr>
          <w:rFonts w:ascii="Arial" w:eastAsiaTheme="minorHAnsi" w:hAnsi="Arial" w:cs="Arial"/>
          <w:noProof w:val="0"/>
          <w:color w:val="000000"/>
          <w:position w:val="0"/>
          <w:sz w:val="20"/>
          <w:szCs w:val="20"/>
        </w:rPr>
        <w:t>Sigorta bölümüne dağıtılan giderler; hayat ve hayat dışı bölümlerine ise her bir bölüm için son 3 yılda üretilen poliçe sayısı,  brüt yazılan prim miktarı ile hasar ihbar adedinin toplam üretilen poliçe sayısı, brüt yazılan prim miktarına ve hasar ihbar adedine  oranlanmasıyla bulunan 3 oranın ortalamasına göre dağıtılır.</w:t>
      </w:r>
    </w:p>
    <w:p w14:paraId="7FE46508"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p>
    <w:p w14:paraId="7804E814" w14:textId="0451837A"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r w:rsidRPr="00A32A68">
        <w:rPr>
          <w:rFonts w:ascii="Arial" w:eastAsiaTheme="minorHAnsi" w:hAnsi="Arial" w:cs="Arial"/>
          <w:noProof w:val="0"/>
          <w:color w:val="000000"/>
          <w:position w:val="0"/>
          <w:sz w:val="20"/>
          <w:szCs w:val="20"/>
        </w:rPr>
        <w:t>d) (a), (b) ve (c) bentlerinde yer alan hükümler; hayat dışı ve hayat / emeklilik branşlarında faaliyet gösteren, ortak yönetime ve personele sahip ve aynı grup içerisinde örgütlenmiş iki ayrı şirketin yapmış olduğu ortak giderlere de uygulanacaktır</w:t>
      </w:r>
    </w:p>
    <w:p w14:paraId="6F4830FD"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p>
    <w:p w14:paraId="3F8C3F23" w14:textId="462D80BD"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r w:rsidRPr="00A32A68">
        <w:rPr>
          <w:rFonts w:ascii="Arial" w:eastAsiaTheme="minorHAnsi" w:hAnsi="Arial" w:cs="Arial"/>
          <w:noProof w:val="0"/>
          <w:color w:val="000000"/>
          <w:position w:val="0"/>
          <w:sz w:val="20"/>
          <w:szCs w:val="20"/>
        </w:rPr>
        <w:t>Genelge’nin uygulamasında yeknesaklığın sağlanmasını teminen bahse konu maddede geçen tanımlar aşağıda açıklanmıştır.</w:t>
      </w:r>
    </w:p>
    <w:p w14:paraId="025F0AD8" w14:textId="77777777" w:rsidR="00A32A68" w:rsidRPr="00C50362" w:rsidRDefault="00A32A68" w:rsidP="00A32A68">
      <w:pPr>
        <w:ind w:right="-29"/>
        <w:rPr>
          <w:rFonts w:ascii="Arial" w:hAnsi="Arial" w:cs="Arial"/>
          <w:kern w:val="0"/>
          <w:position w:val="0"/>
          <w:sz w:val="20"/>
          <w:szCs w:val="20"/>
        </w:rPr>
      </w:pPr>
    </w:p>
    <w:p w14:paraId="132FADE1"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r w:rsidRPr="00A32A68">
        <w:rPr>
          <w:rFonts w:ascii="Arial" w:eastAsiaTheme="minorHAnsi" w:hAnsi="Arial" w:cs="Arial"/>
          <w:b/>
          <w:noProof w:val="0"/>
          <w:color w:val="000000"/>
          <w:position w:val="0"/>
          <w:sz w:val="20"/>
          <w:szCs w:val="20"/>
          <w:u w:val="single"/>
        </w:rPr>
        <w:t>1 – Yürürlükteki Poliçe Sayısı:</w:t>
      </w:r>
      <w:r w:rsidRPr="00A32A68">
        <w:rPr>
          <w:rFonts w:ascii="Arial" w:eastAsiaTheme="minorHAnsi" w:hAnsi="Arial" w:cs="Arial"/>
          <w:noProof w:val="0"/>
          <w:color w:val="000000"/>
          <w:position w:val="0"/>
          <w:sz w:val="20"/>
          <w:szCs w:val="20"/>
        </w:rPr>
        <w:t xml:space="preserve"> Dönem sonunda yürürlükte bulunan poliçe sayısı (tenzil durumundaki poliçeler dahil)</w:t>
      </w:r>
    </w:p>
    <w:p w14:paraId="272E4711"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p>
    <w:p w14:paraId="356915BE"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r w:rsidRPr="00A32A68">
        <w:rPr>
          <w:rFonts w:ascii="Arial" w:eastAsiaTheme="minorHAnsi" w:hAnsi="Arial" w:cs="Arial"/>
          <w:b/>
          <w:noProof w:val="0"/>
          <w:color w:val="000000"/>
          <w:position w:val="0"/>
          <w:sz w:val="20"/>
          <w:szCs w:val="20"/>
          <w:u w:val="single"/>
        </w:rPr>
        <w:t>2 – Yürürlükteki Emeklilik Sözleşmesi Sayısı:</w:t>
      </w:r>
      <w:r w:rsidRPr="00A32A68">
        <w:rPr>
          <w:rFonts w:ascii="Arial" w:eastAsiaTheme="minorHAnsi" w:hAnsi="Arial" w:cs="Arial"/>
          <w:noProof w:val="0"/>
          <w:color w:val="000000"/>
          <w:position w:val="0"/>
          <w:sz w:val="20"/>
          <w:szCs w:val="20"/>
        </w:rPr>
        <w:t xml:space="preserve"> Dönem sonunda yürürlükte bulunan emeklilik sözleşmesi sayısı (ara verme statüsünde bulunan sözleşmeler dahil)</w:t>
      </w:r>
    </w:p>
    <w:p w14:paraId="1B73E734"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p>
    <w:p w14:paraId="48796CD0"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r w:rsidRPr="00A32A68">
        <w:rPr>
          <w:rFonts w:ascii="Arial" w:eastAsiaTheme="minorHAnsi" w:hAnsi="Arial" w:cs="Arial"/>
          <w:b/>
          <w:noProof w:val="0"/>
          <w:color w:val="000000"/>
          <w:position w:val="0"/>
          <w:sz w:val="20"/>
          <w:szCs w:val="20"/>
          <w:u w:val="single"/>
        </w:rPr>
        <w:t>3 – Katkı Payı Tutarı:</w:t>
      </w:r>
      <w:r w:rsidRPr="00A32A68">
        <w:rPr>
          <w:rFonts w:ascii="Arial" w:eastAsiaTheme="minorHAnsi" w:hAnsi="Arial" w:cs="Arial"/>
          <w:noProof w:val="0"/>
          <w:color w:val="000000"/>
          <w:position w:val="0"/>
          <w:sz w:val="20"/>
          <w:szCs w:val="20"/>
        </w:rPr>
        <w:t xml:space="preserve"> Cari yıl (hesaplamanın gerçekleştirildiği bilanço tarihi ile bir önceki yılın aynı tarihi arasındaki dönem) içerisinde tahsil edilen katkı payından, sistemden ayrılanlar tarafından söz konusu dönemde ödenen katkı payı tutarları düşüldükten sonra kalan tutar (Emeklilik Gözetim </w:t>
      </w:r>
      <w:r w:rsidRPr="00A32A68">
        <w:rPr>
          <w:rFonts w:ascii="Arial" w:eastAsiaTheme="minorHAnsi" w:hAnsi="Arial" w:cs="Arial"/>
          <w:noProof w:val="0"/>
          <w:color w:val="000000"/>
          <w:position w:val="0"/>
          <w:sz w:val="20"/>
          <w:szCs w:val="20"/>
        </w:rPr>
        <w:lastRenderedPageBreak/>
        <w:t>Merkezine raporlanan katkı payı tutarı)</w:t>
      </w:r>
    </w:p>
    <w:p w14:paraId="755046DE"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p>
    <w:p w14:paraId="23BBB4A7" w14:textId="77777777" w:rsidR="00A32A68" w:rsidRPr="00A32A68" w:rsidRDefault="00A32A68" w:rsidP="00A32A68">
      <w:pPr>
        <w:widowControl w:val="0"/>
        <w:spacing w:line="276" w:lineRule="auto"/>
        <w:ind w:left="170" w:right="170"/>
        <w:rPr>
          <w:rFonts w:ascii="Arial" w:eastAsiaTheme="minorHAnsi" w:hAnsi="Arial" w:cs="Arial"/>
          <w:noProof w:val="0"/>
          <w:color w:val="000000"/>
          <w:position w:val="0"/>
          <w:sz w:val="20"/>
          <w:szCs w:val="20"/>
        </w:rPr>
      </w:pPr>
      <w:r w:rsidRPr="00A32A68">
        <w:rPr>
          <w:rFonts w:ascii="Arial" w:eastAsiaTheme="minorHAnsi" w:hAnsi="Arial" w:cs="Arial"/>
          <w:b/>
          <w:noProof w:val="0"/>
          <w:color w:val="000000"/>
          <w:position w:val="0"/>
          <w:sz w:val="20"/>
          <w:szCs w:val="20"/>
          <w:u w:val="single"/>
        </w:rPr>
        <w:t>4 – Kazanılmış Prim Tutarı:</w:t>
      </w:r>
      <w:r w:rsidRPr="00A32A68">
        <w:rPr>
          <w:rFonts w:ascii="Arial" w:eastAsiaTheme="minorHAnsi" w:hAnsi="Arial" w:cs="Arial"/>
          <w:noProof w:val="0"/>
          <w:color w:val="000000"/>
          <w:position w:val="0"/>
          <w:sz w:val="20"/>
          <w:szCs w:val="20"/>
        </w:rPr>
        <w:t xml:space="preserve"> Brüt yazılan prim tutarı + Devreden KPK – KPK (Birikimli hayat sigortalarında yazılan primlerden, aktüeryal matematik karşılıklar düşüldükten sonra kalan tutar)</w:t>
      </w:r>
    </w:p>
    <w:p w14:paraId="4EFD1C03" w14:textId="77777777" w:rsidR="00626E7B" w:rsidRDefault="00626E7B"/>
    <w:sectPr w:rsidR="00626E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C9694" w14:textId="77777777" w:rsidR="00A32A68" w:rsidRDefault="00A32A68" w:rsidP="00A32A68">
      <w:r>
        <w:separator/>
      </w:r>
    </w:p>
  </w:endnote>
  <w:endnote w:type="continuationSeparator" w:id="0">
    <w:p w14:paraId="635C9746" w14:textId="77777777" w:rsidR="00A32A68" w:rsidRDefault="00A32A68" w:rsidP="00A3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94179" w14:textId="01C853F0" w:rsidR="00A32A68" w:rsidRPr="00A32A68" w:rsidRDefault="00A32A68" w:rsidP="00A32A68">
    <w:pPr>
      <w:pStyle w:val="AltBilgi"/>
      <w:jc w:val="left"/>
    </w:pPr>
    <w:fldSimple w:instr=" DOCPROPERTY bjFooterEvenPageDocProperty \* MERGEFORMAT " w:fldLock="1">
      <w:r w:rsidRPr="009B4AC5">
        <w:rPr>
          <w:rFonts w:ascii="Malgun Gothic" w:eastAsia="Malgun Gothic" w:hAnsi="Malgun Gothic"/>
          <w:b/>
          <w:bCs/>
          <w:color w:val="999999"/>
          <w:sz w:val="20"/>
          <w:szCs w:val="20"/>
        </w:rPr>
        <w:t>Sınıflandırma|</w:t>
      </w:r>
      <w:r w:rsidRPr="009B4AC5">
        <w:rPr>
          <w:rFonts w:ascii="Malgun Gothic" w:eastAsia="Malgun Gothic" w:hAnsi="Malgun Gothic"/>
          <w:b/>
          <w:bCs/>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4BE09" w14:textId="371041DA" w:rsidR="00A32A68" w:rsidRPr="00A32A68" w:rsidRDefault="00A32A68" w:rsidP="00A32A68">
    <w:pPr>
      <w:pStyle w:val="AltBilgi"/>
      <w:jc w:val="left"/>
    </w:pPr>
    <w:fldSimple w:instr=" DOCPROPERTY bjFooterBothDocProperty \* MERGEFORMAT " w:fldLock="1">
      <w:r w:rsidRPr="009B4AC5">
        <w:rPr>
          <w:rFonts w:ascii="Malgun Gothic" w:eastAsia="Malgun Gothic" w:hAnsi="Malgun Gothic"/>
          <w:b/>
          <w:bCs/>
          <w:color w:val="999999"/>
          <w:sz w:val="20"/>
          <w:szCs w:val="20"/>
        </w:rPr>
        <w:t>Sınıflandırma|</w:t>
      </w:r>
      <w:r w:rsidRPr="009B4AC5">
        <w:rPr>
          <w:rFonts w:ascii="Malgun Gothic" w:eastAsia="Malgun Gothic" w:hAnsi="Malgun Gothic"/>
          <w:b/>
          <w:bCs/>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45659" w14:textId="776BC10F" w:rsidR="00A32A68" w:rsidRPr="00A32A68" w:rsidRDefault="00A32A68" w:rsidP="00A32A68">
    <w:pPr>
      <w:pStyle w:val="AltBilgi"/>
      <w:jc w:val="left"/>
    </w:pPr>
    <w:fldSimple w:instr=" DOCPROPERTY bjFooterFirstPageDocProperty \* MERGEFORMAT " w:fldLock="1">
      <w:r w:rsidRPr="009B4AC5">
        <w:rPr>
          <w:rFonts w:ascii="Malgun Gothic" w:eastAsia="Malgun Gothic" w:hAnsi="Malgun Gothic"/>
          <w:b/>
          <w:bCs/>
          <w:color w:val="999999"/>
          <w:sz w:val="20"/>
          <w:szCs w:val="20"/>
        </w:rPr>
        <w:t>Sınıflandırma|</w:t>
      </w:r>
      <w:r w:rsidRPr="009B4AC5">
        <w:rPr>
          <w:rFonts w:ascii="Malgun Gothic" w:eastAsia="Malgun Gothic" w:hAnsi="Malgun Gothic"/>
          <w:b/>
          <w:bCs/>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F67BB" w14:textId="77777777" w:rsidR="00A32A68" w:rsidRDefault="00A32A68" w:rsidP="00A32A68">
      <w:r>
        <w:separator/>
      </w:r>
    </w:p>
  </w:footnote>
  <w:footnote w:type="continuationSeparator" w:id="0">
    <w:p w14:paraId="6F1FDBD8" w14:textId="77777777" w:rsidR="00A32A68" w:rsidRDefault="00A32A68" w:rsidP="00A3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4E35" w14:textId="77777777" w:rsidR="00A32A68" w:rsidRDefault="00A32A6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2722" w14:textId="77777777" w:rsidR="00A32A68" w:rsidRDefault="00A32A6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8A639" w14:textId="77777777" w:rsidR="00A32A68" w:rsidRDefault="00A32A6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76"/>
    <w:rsid w:val="00273076"/>
    <w:rsid w:val="00626E7B"/>
    <w:rsid w:val="00A32A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E23D6"/>
  <w15:chartTrackingRefBased/>
  <w15:docId w15:val="{897EA21F-FC45-4AC0-B9D9-8803CB6D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A68"/>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A32A68"/>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32A68"/>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A32A68"/>
    <w:pPr>
      <w:tabs>
        <w:tab w:val="center" w:pos="4536"/>
        <w:tab w:val="right" w:pos="9072"/>
      </w:tabs>
    </w:pPr>
  </w:style>
  <w:style w:type="character" w:customStyle="1" w:styleId="stBilgiChar">
    <w:name w:val="Üst Bilgi Char"/>
    <w:basedOn w:val="VarsaylanParagrafYazTipi"/>
    <w:link w:val="stBilgi"/>
    <w:uiPriority w:val="99"/>
    <w:rsid w:val="00A32A68"/>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A32A68"/>
    <w:pPr>
      <w:tabs>
        <w:tab w:val="center" w:pos="4536"/>
        <w:tab w:val="right" w:pos="9072"/>
      </w:tabs>
    </w:pPr>
  </w:style>
  <w:style w:type="character" w:customStyle="1" w:styleId="AltBilgiChar">
    <w:name w:val="Alt Bilgi Char"/>
    <w:basedOn w:val="VarsaylanParagrafYazTipi"/>
    <w:link w:val="AltBilgi"/>
    <w:uiPriority w:val="99"/>
    <w:rsid w:val="00A32A68"/>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0B2592E5-62C5-4ACC-A445-C54EE5AB911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2488</Characters>
  <Application>Microsoft Office Word</Application>
  <DocSecurity>0</DocSecurity>
  <Lines>20</Lines>
  <Paragraphs>5</Paragraphs>
  <ScaleCrop>false</ScaleCrop>
  <Company>Emeklilik Gozetim Merkezi</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2023-03-02T12:38:00Z</dcterms:created>
  <dcterms:modified xsi:type="dcterms:W3CDTF">2023-03-02T12:43:00Z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7867be64-7dff-44ff-acb6-d62f4612bc1b</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