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8FEE4" w14:textId="77777777" w:rsidR="006854DE" w:rsidRPr="001D7EEF" w:rsidRDefault="006854DE" w:rsidP="006854D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52716BE" w14:textId="77777777" w:rsidR="006854DE" w:rsidRPr="000E3656" w:rsidRDefault="006854DE" w:rsidP="006854DE">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0E3656">
        <w:rPr>
          <w:b/>
          <w:bCs/>
          <w:sz w:val="20"/>
        </w:rPr>
        <w:tab/>
      </w:r>
      <w:r w:rsidR="000E3656">
        <w:rPr>
          <w:b/>
          <w:bCs/>
          <w:sz w:val="20"/>
        </w:rPr>
        <w:tab/>
      </w:r>
      <w:r w:rsidR="000E3656">
        <w:rPr>
          <w:b/>
          <w:bCs/>
          <w:sz w:val="20"/>
        </w:rPr>
        <w:tab/>
      </w:r>
      <w:r w:rsidR="000E3656">
        <w:rPr>
          <w:b/>
          <w:bCs/>
          <w:sz w:val="20"/>
        </w:rPr>
        <w:tab/>
      </w:r>
      <w:r w:rsidR="000E3656">
        <w:rPr>
          <w:b/>
          <w:bCs/>
          <w:sz w:val="20"/>
        </w:rPr>
        <w:tab/>
      </w:r>
      <w:r w:rsidR="000E3656">
        <w:rPr>
          <w:b/>
          <w:bCs/>
          <w:sz w:val="20"/>
        </w:rPr>
        <w:tab/>
      </w:r>
      <w:r w:rsidR="000E3656">
        <w:rPr>
          <w:b/>
          <w:bCs/>
          <w:sz w:val="20"/>
        </w:rPr>
        <w:tab/>
      </w:r>
      <w:r w:rsidR="000E3656">
        <w:rPr>
          <w:b/>
          <w:bCs/>
          <w:sz w:val="20"/>
        </w:rPr>
        <w:tab/>
      </w:r>
      <w:bookmarkStart w:id="0" w:name="_GoBack"/>
      <w:bookmarkEnd w:id="0"/>
      <w:r w:rsidR="000E3656">
        <w:rPr>
          <w:b/>
          <w:bCs/>
          <w:sz w:val="20"/>
          <w:u w:val="single"/>
        </w:rPr>
        <w:t>26.09.2007</w:t>
      </w:r>
    </w:p>
    <w:p w14:paraId="07A04D6B" w14:textId="77777777" w:rsidR="00CD5880" w:rsidRPr="00DB777E" w:rsidRDefault="00CD5880" w:rsidP="006854DE">
      <w:pPr>
        <w:widowControl w:val="0"/>
        <w:autoSpaceDE w:val="0"/>
        <w:autoSpaceDN w:val="0"/>
        <w:adjustRightInd w:val="0"/>
        <w:spacing w:after="0" w:line="240" w:lineRule="auto"/>
        <w:ind w:left="170" w:right="170"/>
        <w:rPr>
          <w:b/>
          <w:bCs/>
          <w:sz w:val="20"/>
          <w:u w:val="single"/>
        </w:rPr>
      </w:pPr>
    </w:p>
    <w:p w14:paraId="2BC6C5E8" w14:textId="77777777" w:rsidR="006854DE" w:rsidRDefault="006854DE" w:rsidP="00CD5880">
      <w:pPr>
        <w:pStyle w:val="Balk2"/>
        <w:spacing w:before="0" w:after="0"/>
        <w:jc w:val="center"/>
        <w:rPr>
          <w:sz w:val="24"/>
          <w:szCs w:val="24"/>
        </w:rPr>
      </w:pPr>
      <w:r w:rsidRPr="00DB777E">
        <w:rPr>
          <w:sz w:val="24"/>
          <w:szCs w:val="24"/>
        </w:rPr>
        <w:t>11.07.2007 TARİHLİ VE 26579 SAYILI RESMİ GAZETE’DE YAYIMLANAN 2007/1 SAYILI SİGORTA BRANŞLARINA İLİŞKİN TEBLİĞİN UYGULAMA ESASLARINA DAİR GENELGE (2007/11)</w:t>
      </w:r>
    </w:p>
    <w:p w14:paraId="03A32C6D" w14:textId="77777777" w:rsidR="00CD5880" w:rsidRDefault="00CD5880" w:rsidP="00CD5880">
      <w:pPr>
        <w:spacing w:after="0"/>
      </w:pPr>
    </w:p>
    <w:p w14:paraId="25EC0E97" w14:textId="77777777" w:rsidR="00CD5880" w:rsidRPr="00CD5880" w:rsidRDefault="00CD5880" w:rsidP="00CD5880">
      <w:pPr>
        <w:spacing w:after="0"/>
      </w:pPr>
    </w:p>
    <w:p w14:paraId="6BF88B26" w14:textId="77777777" w:rsidR="006854DE" w:rsidRPr="008F5C19" w:rsidRDefault="006854DE" w:rsidP="00CD5880">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Bilindiği üzere, 2007/1 sayılı Sigorta Branşlarına İlişkin Tebliğ 11.07.2007 tarih ve 26579 sayılı Resmi Gazete’de yayımlanarak yürürlüğe girmiştir. Söz konusu Tebliğ aşağıdaki esaslar çerçevesinde uygulanacaktır.</w:t>
      </w:r>
    </w:p>
    <w:p w14:paraId="38FF17E8" w14:textId="77777777" w:rsidR="006854DE" w:rsidRPr="008F5C19" w:rsidRDefault="006854DE" w:rsidP="00CD5880">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1. Sigorta şirketleri söz konusu Tebliğde branşların altında yer alan teminatların tümünü veya bazılarını içerecek şekilde ruhsat talebinde bulunabilir. Ancak ruhsat, branşlar altında yer alan  teminatlar esas alınarak değil branş bazında verilir. Branş altındaki teminatların hepsini içerecek şekilde ruhsat talebinde bulunulmamışsa ruhsatnamede bu durum belirtilir. Örneğin, Yangın ve Doğal Afetler Branşından sadece sel için teminat vermek isteyen bir sigorta şirketine Yangın ve Doğal Afetler IV Ruhsatı verilir. Dolayısıyla sel teminatının verilebilmesi söz konusu branşdan alınacak ruhsatla mümkün olacaktır.   </w:t>
      </w:r>
    </w:p>
    <w:p w14:paraId="2D44F6B9"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2.  Reasürans şirketleri, hayat sigortası grubunun tamamını veya hayat dışı sigorta grubunun tamamını kapsar şekilde iki ayrı reasürans ruhsatı alabilir. </w:t>
      </w:r>
    </w:p>
    <w:p w14:paraId="49B9F012"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3. Tebliğ’in “B. Birden fazla branş için verilen ruhsat tanımları” kısmında yer alan sınıflandırmalar kapsamında ruhsat almak isteyen sigorta şirketlerine, talep ettikleri her bir branş için 2007/4 sayılı “Sigorta Branşları İçin Öngörülen Sermaye Tutarlarına İlişkin Genelge” ile belirlenen sermaye şartını yerine getirmek koşuluyla, birden fazla branşı kapsayacak şekilde toplulaştırılmış ruhsat verilir. </w:t>
      </w:r>
    </w:p>
    <w:p w14:paraId="7D3BCCB6"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4. Bir branştan alınan ruhsat ile başka bir branşın konusunu teşkil eden riskler için bu risk, temel riskle bağlantılıysa veya temel riskin konusu menfaatle ilgiliyse veya temel riskle ilgili genel şartta belirtilmişse ayrı bir ruhsata gerek olmaksızın teminat verilebilir. </w:t>
      </w:r>
    </w:p>
    <w:p w14:paraId="7A294AB7"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Örneğin, yöneticiler için yapılmış bir mesleki sorumluluk sigortasında hukuksal koruma ek teminat olarak verilmişse, söz konusu ek teminat sadece yöneticinin mesleki sorumluluğuyla bağlantılı olarak işler ve bu durumda teminatı veren sigorta şirketinden hukuksal koruma ruhsatı aranmaz. Dolayısıyla, yöneticiye, sigorta şirketi tarafından  normal şartlar altında hukuksal koruma teminatları arasında yer alan sürücü hukuksal koruma teminatı verilemez. Eğer sigorta şirketi, Hukuksal Koruma Sigortası Genel Şartları çerçevesinde sürücü hukuksal koruma teminatı vermek isterse, bunu başka bir riske bağlamadan Hukuksal Koruma Branşından ruhsat almak suretiyle yapabilir.  </w:t>
      </w:r>
    </w:p>
    <w:p w14:paraId="1D243E33"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5. Dördüncü madde uyarınca ek teminat olarak verilebilecek haller için 27.08.2007 tarih ve 2007/9 sayılı “Sigorta Sözleşmesi Konusu Teminatların Veriliş Şekline İlişkin Genelge”’de yer alan hususlar geçerlidir.   </w:t>
      </w:r>
    </w:p>
    <w:p w14:paraId="1272FDC7"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6. 5684 sayılı Sigortacılık Kanunu gereği, sigorta şirketleri hayat ve hayat dışı sigorta gruplarından sadece birinde faaliyet gösterecek olmakla birlikte, Hastalık/Sağlık ve Kaza branşları her iki grup altında yer aldığından, söz konusu branş ve branş alt ayrımlarına göre gerek hayat gerekse hayat dışı sigorta şirketleri teminat verebilir. </w:t>
      </w:r>
    </w:p>
    <w:p w14:paraId="607E6733" w14:textId="77777777" w:rsidR="006854DE" w:rsidRPr="008F5C19" w:rsidRDefault="006854DE" w:rsidP="00CD5880">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7. Daha önce hayat dışı sigorta şirketleri tarafından yapılan Karayolu Yolcu Taşımacılığı Zorunlu Koltuk Ferdi Kaza Sigortası, Kaza Branşında (II/6) ruhsatı olan hayat sigorta şirketleri tarafından da yapılabilir. </w:t>
      </w:r>
    </w:p>
    <w:p w14:paraId="6C49FA4C"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8. Yangın ve Doğal Afetler Branşında alınan ruhsat ile kara araçları, hava araçları, raylı araçlar, su araçları ve nakliyat konusu mal ve bagaj için yangın, patlama, deprem, sel, deprem ve sel dışındaki doğal afetler, nükleer enerji ve toprak kayması risklerine karşı teminat verilemez. Söz konusu araçlar ile nakliyat konusu mal ve bagaj için anılan teminatların verilebilmesi ilgili branşlarından alınacak ruhsatla mümkündür. Örneğin, kara aracının deprem nedeniyle uğradığı zararın telafisi Yangın ve Doğal Afetler Branşından alınan ruhsat ile değil, Kara Araçları Branşı’ndan alınan ruhsatla yapılabilir. </w:t>
      </w:r>
    </w:p>
    <w:p w14:paraId="6D142F97" w14:textId="77777777" w:rsidR="006854DE" w:rsidRPr="008F5C19" w:rsidRDefault="006854DE" w:rsidP="008F5C19">
      <w:pPr>
        <w:widowControl w:val="0"/>
        <w:spacing w:after="0"/>
        <w:ind w:left="170" w:right="170"/>
        <w:jc w:val="both"/>
        <w:rPr>
          <w:rFonts w:eastAsiaTheme="minorHAnsi"/>
          <w:color w:val="000000"/>
          <w:kern w:val="16"/>
          <w:sz w:val="20"/>
          <w:lang w:eastAsia="en-US"/>
        </w:rPr>
      </w:pPr>
      <w:r w:rsidRPr="008F5C19">
        <w:rPr>
          <w:rFonts w:eastAsiaTheme="minorHAnsi"/>
          <w:color w:val="000000"/>
          <w:kern w:val="16"/>
          <w:sz w:val="20"/>
          <w:lang w:eastAsia="en-US"/>
        </w:rPr>
        <w:t xml:space="preserve">9. Don ve dondan kaynaklanan zararlar nedeniyle tazminat ödemeleri kara araçları, hava araçları, raylı araçlar, su araçları ve nakliyat konusu mal ve bagaj için geçerli değildir. Dolayısıyla, kara </w:t>
      </w:r>
      <w:r w:rsidRPr="008F5C19">
        <w:rPr>
          <w:rFonts w:eastAsiaTheme="minorHAnsi"/>
          <w:color w:val="000000"/>
          <w:kern w:val="16"/>
          <w:sz w:val="20"/>
          <w:lang w:eastAsia="en-US"/>
        </w:rPr>
        <w:lastRenderedPageBreak/>
        <w:t>araçlarının don nedeniyle uğradığı zararın telafisi Kara Araçları Branşı’ndan alınan ruhsatla mümkündür.</w:t>
      </w:r>
    </w:p>
    <w:p w14:paraId="3A72A8F8" w14:textId="77777777" w:rsidR="006854DE" w:rsidRPr="006854DE" w:rsidRDefault="006854DE" w:rsidP="00CD5880">
      <w:pPr>
        <w:spacing w:after="0"/>
        <w:ind w:left="165"/>
        <w:rPr>
          <w:strike/>
          <w:color w:val="767171" w:themeColor="background2" w:themeShade="80"/>
          <w:sz w:val="20"/>
        </w:rPr>
      </w:pPr>
      <w:r w:rsidRPr="00CD5880">
        <w:rPr>
          <w:rFonts w:eastAsiaTheme="minorHAnsi"/>
          <w:color w:val="000000"/>
          <w:kern w:val="16"/>
          <w:sz w:val="20"/>
          <w:lang w:eastAsia="en-US"/>
        </w:rPr>
        <w:t>10. (</w:t>
      </w:r>
      <w:r>
        <w:rPr>
          <w:b/>
          <w:sz w:val="20"/>
        </w:rPr>
        <w:t>Değişik: 19.08.2016 t. 2016/30 s. G. m.1)</w:t>
      </w:r>
      <w:r>
        <w:rPr>
          <w:rStyle w:val="DipnotBavurusu"/>
          <w:b/>
          <w:sz w:val="20"/>
        </w:rPr>
        <w:footnoteReference w:id="1"/>
      </w:r>
      <w:r w:rsidRPr="00C8618B">
        <w:rPr>
          <w:sz w:val="20"/>
        </w:rPr>
        <w:t xml:space="preserve"> Bireysel Emeklilik Tasarruf ve Yatırım Sistemi Kanunu’nun 8 inci maddesi uyarınca emeklilik şirketleri,</w:t>
      </w:r>
      <w:r>
        <w:rPr>
          <w:sz w:val="20"/>
        </w:rPr>
        <w:t xml:space="preserve"> </w:t>
      </w:r>
      <w:r>
        <w:rPr>
          <w:strike/>
          <w:color w:val="767171" w:themeColor="background2" w:themeShade="80"/>
          <w:sz w:val="20"/>
        </w:rPr>
        <w:t>Kaza Branşı yanında Hayat, Evlilik/Doğum, Yatırım Fonlu Sigorta ve Sermaye İtfa Sigortası Branşlarında</w:t>
      </w:r>
      <w:r w:rsidRPr="00C8618B">
        <w:rPr>
          <w:sz w:val="20"/>
        </w:rPr>
        <w:t xml:space="preserve"> </w:t>
      </w:r>
      <w:r w:rsidRPr="006854DE">
        <w:rPr>
          <w:color w:val="FF0000"/>
          <w:sz w:val="20"/>
        </w:rPr>
        <w:t xml:space="preserve">hayat grubu sigorta branşlarında </w:t>
      </w:r>
      <w:r w:rsidRPr="00C8618B">
        <w:rPr>
          <w:sz w:val="20"/>
        </w:rPr>
        <w:t xml:space="preserve">ruhsat alabilir. </w:t>
      </w:r>
      <w:r>
        <w:rPr>
          <w:strike/>
          <w:color w:val="767171" w:themeColor="background2" w:themeShade="80"/>
          <w:sz w:val="20"/>
        </w:rPr>
        <w:t>Söz konusu madde anılan Kanun’un Geçici 1 inci Maddesinin ikinci fıkrası uyarınca, bireysel emeklilik şirketlerinin Hastalık/Sağlık branşında faaliyet göstermesi mümkün olmadığı gibi bu branşlar altında verilen teminatları ek teminat olarak sunması mümkün değildir.</w:t>
      </w:r>
    </w:p>
    <w:p w14:paraId="5BC90856" w14:textId="77777777" w:rsidR="006854DE" w:rsidRPr="006854DE" w:rsidRDefault="006854DE" w:rsidP="00CD5880">
      <w:pPr>
        <w:spacing w:after="0"/>
        <w:ind w:left="165"/>
        <w:rPr>
          <w:color w:val="FF0000"/>
          <w:sz w:val="20"/>
        </w:rPr>
      </w:pPr>
      <w:r w:rsidRPr="006854DE">
        <w:rPr>
          <w:color w:val="FF0000"/>
          <w:sz w:val="20"/>
        </w:rPr>
        <w:t>Emeklilik şirketleri, hayat branşında ruhsatları bulunması kaydıyla, tehlikeli hastalıklar ve sürekli sakatlık teminatlarını başka bir şart aranmaksızın hayat sigortasına ek teminat şeklinde verebilir.</w:t>
      </w:r>
    </w:p>
    <w:p w14:paraId="4A51A7B4" w14:textId="77777777" w:rsidR="006854DE" w:rsidRPr="00C8618B" w:rsidRDefault="006854DE" w:rsidP="00CD5880">
      <w:pPr>
        <w:spacing w:after="0"/>
        <w:ind w:left="165"/>
        <w:rPr>
          <w:sz w:val="20"/>
        </w:rPr>
      </w:pPr>
      <w:r w:rsidRPr="00C8618B">
        <w:rPr>
          <w:sz w:val="20"/>
        </w:rPr>
        <w:t xml:space="preserve">11. Sigortacılık Kanunu’nun yürürlüğe girmesinden önce meri mevzuatta yer alan ve Mülga Sigorta Murakabe Kanunu’na  göre düzenlenmiş branş ayrımlarına yapılan atıflar, genel hukuk kuralları çerçevesinde bunların yeni branş ve branş alt ayrımlarına yapılmış sayılır. </w:t>
      </w:r>
    </w:p>
    <w:p w14:paraId="399B83C6" w14:textId="77777777" w:rsidR="006854DE" w:rsidRPr="00A27FC1" w:rsidRDefault="006854DE" w:rsidP="006854DE">
      <w:pPr>
        <w:widowControl w:val="0"/>
        <w:ind w:left="170" w:right="170"/>
        <w:rPr>
          <w:b/>
          <w:sz w:val="20"/>
        </w:rPr>
      </w:pPr>
    </w:p>
    <w:tbl>
      <w:tblPr>
        <w:tblStyle w:val="TabloKlavuzu"/>
        <w:tblW w:w="0" w:type="auto"/>
        <w:tblInd w:w="0" w:type="dxa"/>
        <w:tblLook w:val="04A0" w:firstRow="1" w:lastRow="0" w:firstColumn="1" w:lastColumn="0" w:noHBand="0" w:noVBand="1"/>
      </w:tblPr>
      <w:tblGrid>
        <w:gridCol w:w="3016"/>
        <w:gridCol w:w="3019"/>
        <w:gridCol w:w="3021"/>
      </w:tblGrid>
      <w:tr w:rsidR="006854DE" w14:paraId="127BD41C" w14:textId="77777777" w:rsidTr="00467BD5">
        <w:trPr>
          <w:trHeight w:val="289"/>
        </w:trPr>
        <w:tc>
          <w:tcPr>
            <w:tcW w:w="9130" w:type="dxa"/>
            <w:gridSpan w:val="3"/>
          </w:tcPr>
          <w:p w14:paraId="1E1B258A" w14:textId="77777777" w:rsidR="006854DE" w:rsidRPr="006854DE" w:rsidRDefault="006854DE" w:rsidP="00467BD5">
            <w:pPr>
              <w:jc w:val="center"/>
              <w:rPr>
                <w:b/>
                <w:sz w:val="20"/>
              </w:rPr>
            </w:pPr>
            <w:r w:rsidRPr="006854DE">
              <w:rPr>
                <w:b/>
                <w:sz w:val="20"/>
              </w:rPr>
              <w:t>Genelge’nin</w:t>
            </w:r>
          </w:p>
        </w:tc>
      </w:tr>
      <w:tr w:rsidR="006854DE" w14:paraId="4F38D770" w14:textId="77777777" w:rsidTr="00467BD5">
        <w:trPr>
          <w:trHeight w:val="289"/>
        </w:trPr>
        <w:tc>
          <w:tcPr>
            <w:tcW w:w="3042" w:type="dxa"/>
          </w:tcPr>
          <w:p w14:paraId="3384F9C2" w14:textId="77777777" w:rsidR="006854DE" w:rsidRPr="006854DE" w:rsidRDefault="006854DE" w:rsidP="00467BD5">
            <w:pPr>
              <w:spacing w:after="0" w:line="240" w:lineRule="auto"/>
              <w:jc w:val="center"/>
              <w:rPr>
                <w:b/>
                <w:sz w:val="20"/>
              </w:rPr>
            </w:pPr>
            <w:r w:rsidRPr="006854DE">
              <w:rPr>
                <w:b/>
                <w:sz w:val="20"/>
              </w:rPr>
              <w:t>Numarası</w:t>
            </w:r>
          </w:p>
        </w:tc>
        <w:tc>
          <w:tcPr>
            <w:tcW w:w="3043" w:type="dxa"/>
          </w:tcPr>
          <w:p w14:paraId="0F6E5B2D" w14:textId="77777777" w:rsidR="006854DE" w:rsidRPr="006854DE" w:rsidRDefault="006854DE" w:rsidP="00467BD5">
            <w:pPr>
              <w:spacing w:after="0" w:line="240" w:lineRule="auto"/>
              <w:jc w:val="center"/>
              <w:rPr>
                <w:b/>
                <w:sz w:val="20"/>
              </w:rPr>
            </w:pPr>
            <w:r w:rsidRPr="006854DE">
              <w:rPr>
                <w:b/>
                <w:sz w:val="20"/>
              </w:rPr>
              <w:t>Kabul Tarihi</w:t>
            </w:r>
          </w:p>
        </w:tc>
        <w:tc>
          <w:tcPr>
            <w:tcW w:w="3043" w:type="dxa"/>
          </w:tcPr>
          <w:p w14:paraId="17AC7CB5" w14:textId="77777777" w:rsidR="006854DE" w:rsidRPr="006854DE" w:rsidRDefault="006854DE" w:rsidP="00467BD5">
            <w:pPr>
              <w:jc w:val="center"/>
              <w:rPr>
                <w:b/>
                <w:sz w:val="20"/>
              </w:rPr>
            </w:pPr>
            <w:r w:rsidRPr="006854DE">
              <w:rPr>
                <w:b/>
                <w:sz w:val="20"/>
              </w:rPr>
              <w:t>Yürürlüğe Giriş Tarihi</w:t>
            </w:r>
          </w:p>
        </w:tc>
      </w:tr>
      <w:tr w:rsidR="006854DE" w14:paraId="0B1BCC7E" w14:textId="77777777" w:rsidTr="00467BD5">
        <w:trPr>
          <w:trHeight w:val="289"/>
        </w:trPr>
        <w:tc>
          <w:tcPr>
            <w:tcW w:w="3042" w:type="dxa"/>
          </w:tcPr>
          <w:p w14:paraId="52ADB98E" w14:textId="77777777" w:rsidR="006854DE" w:rsidRPr="006854DE" w:rsidRDefault="006854DE" w:rsidP="00467BD5">
            <w:pPr>
              <w:spacing w:after="0" w:line="240" w:lineRule="auto"/>
              <w:jc w:val="center"/>
              <w:rPr>
                <w:sz w:val="20"/>
              </w:rPr>
            </w:pPr>
            <w:r w:rsidRPr="006854DE">
              <w:rPr>
                <w:sz w:val="20"/>
              </w:rPr>
              <w:t>2007/11</w:t>
            </w:r>
          </w:p>
        </w:tc>
        <w:tc>
          <w:tcPr>
            <w:tcW w:w="3043" w:type="dxa"/>
          </w:tcPr>
          <w:p w14:paraId="6DB45C91" w14:textId="77777777" w:rsidR="006854DE" w:rsidRPr="006854DE" w:rsidRDefault="006854DE" w:rsidP="00467BD5">
            <w:pPr>
              <w:spacing w:after="0" w:line="240" w:lineRule="auto"/>
              <w:jc w:val="center"/>
              <w:rPr>
                <w:sz w:val="20"/>
              </w:rPr>
            </w:pPr>
            <w:r w:rsidRPr="006854DE">
              <w:rPr>
                <w:sz w:val="20"/>
              </w:rPr>
              <w:t>26.09.2007</w:t>
            </w:r>
          </w:p>
        </w:tc>
        <w:tc>
          <w:tcPr>
            <w:tcW w:w="3043" w:type="dxa"/>
          </w:tcPr>
          <w:p w14:paraId="3B501AAA" w14:textId="77777777" w:rsidR="006854DE" w:rsidRPr="006854DE" w:rsidRDefault="006854DE" w:rsidP="00467BD5">
            <w:pPr>
              <w:jc w:val="center"/>
              <w:rPr>
                <w:sz w:val="20"/>
              </w:rPr>
            </w:pPr>
            <w:r w:rsidRPr="006854DE">
              <w:rPr>
                <w:sz w:val="20"/>
              </w:rPr>
              <w:t>26.09.2007</w:t>
            </w:r>
          </w:p>
        </w:tc>
      </w:tr>
      <w:tr w:rsidR="006854DE" w14:paraId="1AF9B4F2" w14:textId="77777777" w:rsidTr="00467BD5">
        <w:trPr>
          <w:trHeight w:val="357"/>
        </w:trPr>
        <w:tc>
          <w:tcPr>
            <w:tcW w:w="9130" w:type="dxa"/>
            <w:gridSpan w:val="3"/>
          </w:tcPr>
          <w:p w14:paraId="4480C45B" w14:textId="77777777" w:rsidR="006854DE" w:rsidRPr="006854DE" w:rsidRDefault="006854DE" w:rsidP="00467BD5">
            <w:pPr>
              <w:jc w:val="center"/>
              <w:rPr>
                <w:b/>
                <w:sz w:val="20"/>
              </w:rPr>
            </w:pPr>
            <w:r w:rsidRPr="006854DE">
              <w:rPr>
                <w:b/>
                <w:sz w:val="20"/>
              </w:rPr>
              <w:t>Genelge’de Değişiklik Yapan Genelge’nin</w:t>
            </w:r>
          </w:p>
        </w:tc>
      </w:tr>
      <w:tr w:rsidR="006854DE" w14:paraId="220A9245" w14:textId="77777777" w:rsidTr="00467BD5">
        <w:trPr>
          <w:trHeight w:val="289"/>
        </w:trPr>
        <w:tc>
          <w:tcPr>
            <w:tcW w:w="3042" w:type="dxa"/>
          </w:tcPr>
          <w:p w14:paraId="789F723D" w14:textId="77777777" w:rsidR="006854DE" w:rsidRPr="006854DE" w:rsidRDefault="006854DE" w:rsidP="00467BD5">
            <w:pPr>
              <w:spacing w:after="0" w:line="240" w:lineRule="auto"/>
              <w:jc w:val="center"/>
              <w:rPr>
                <w:b/>
                <w:sz w:val="20"/>
              </w:rPr>
            </w:pPr>
            <w:r w:rsidRPr="006854DE">
              <w:rPr>
                <w:b/>
                <w:sz w:val="20"/>
              </w:rPr>
              <w:t>Numarası</w:t>
            </w:r>
          </w:p>
        </w:tc>
        <w:tc>
          <w:tcPr>
            <w:tcW w:w="3043" w:type="dxa"/>
          </w:tcPr>
          <w:p w14:paraId="17EE958F" w14:textId="77777777" w:rsidR="006854DE" w:rsidRPr="006854DE" w:rsidRDefault="006854DE" w:rsidP="00467BD5">
            <w:pPr>
              <w:spacing w:after="0" w:line="240" w:lineRule="auto"/>
              <w:jc w:val="center"/>
              <w:rPr>
                <w:b/>
                <w:sz w:val="20"/>
              </w:rPr>
            </w:pPr>
            <w:r w:rsidRPr="006854DE">
              <w:rPr>
                <w:b/>
                <w:sz w:val="20"/>
              </w:rPr>
              <w:t>Tarihi</w:t>
            </w:r>
          </w:p>
        </w:tc>
        <w:tc>
          <w:tcPr>
            <w:tcW w:w="3043" w:type="dxa"/>
          </w:tcPr>
          <w:p w14:paraId="36EC4B1E" w14:textId="77777777" w:rsidR="006854DE" w:rsidRPr="006854DE" w:rsidRDefault="006854DE" w:rsidP="00467BD5">
            <w:pPr>
              <w:jc w:val="center"/>
              <w:rPr>
                <w:b/>
                <w:sz w:val="20"/>
              </w:rPr>
            </w:pPr>
            <w:r w:rsidRPr="006854DE">
              <w:rPr>
                <w:b/>
                <w:sz w:val="20"/>
              </w:rPr>
              <w:t>Yürürlüğe Giriş Tarihi</w:t>
            </w:r>
          </w:p>
        </w:tc>
      </w:tr>
      <w:tr w:rsidR="006854DE" w14:paraId="5849D110" w14:textId="77777777" w:rsidTr="00467BD5">
        <w:trPr>
          <w:trHeight w:val="289"/>
        </w:trPr>
        <w:tc>
          <w:tcPr>
            <w:tcW w:w="3042" w:type="dxa"/>
          </w:tcPr>
          <w:p w14:paraId="0A9A28C7" w14:textId="77777777" w:rsidR="006854DE" w:rsidRPr="006854DE" w:rsidRDefault="006854DE" w:rsidP="00467BD5">
            <w:pPr>
              <w:spacing w:after="0" w:line="240" w:lineRule="auto"/>
              <w:jc w:val="center"/>
              <w:rPr>
                <w:sz w:val="20"/>
              </w:rPr>
            </w:pPr>
            <w:r w:rsidRPr="006854DE">
              <w:rPr>
                <w:sz w:val="20"/>
              </w:rPr>
              <w:t>2016/30</w:t>
            </w:r>
          </w:p>
        </w:tc>
        <w:tc>
          <w:tcPr>
            <w:tcW w:w="3043" w:type="dxa"/>
          </w:tcPr>
          <w:p w14:paraId="571B0740" w14:textId="77777777" w:rsidR="006854DE" w:rsidRPr="006854DE" w:rsidRDefault="006854DE" w:rsidP="00467BD5">
            <w:pPr>
              <w:spacing w:after="0" w:line="240" w:lineRule="auto"/>
              <w:jc w:val="center"/>
              <w:rPr>
                <w:sz w:val="20"/>
              </w:rPr>
            </w:pPr>
            <w:r w:rsidRPr="006854DE">
              <w:rPr>
                <w:sz w:val="20"/>
              </w:rPr>
              <w:t>19.08.2016</w:t>
            </w:r>
          </w:p>
        </w:tc>
        <w:tc>
          <w:tcPr>
            <w:tcW w:w="3043" w:type="dxa"/>
          </w:tcPr>
          <w:p w14:paraId="42F1FB7D" w14:textId="77777777" w:rsidR="006854DE" w:rsidRPr="006854DE" w:rsidRDefault="006854DE" w:rsidP="00467BD5">
            <w:pPr>
              <w:jc w:val="center"/>
              <w:rPr>
                <w:sz w:val="20"/>
              </w:rPr>
            </w:pPr>
            <w:r w:rsidRPr="006854DE">
              <w:rPr>
                <w:sz w:val="20"/>
              </w:rPr>
              <w:t>19.08.2016</w:t>
            </w:r>
          </w:p>
        </w:tc>
      </w:tr>
    </w:tbl>
    <w:p w14:paraId="22E626CF" w14:textId="77777777" w:rsidR="006854DE" w:rsidRPr="00A27FC1" w:rsidRDefault="006854DE" w:rsidP="006854DE">
      <w:pPr>
        <w:widowControl w:val="0"/>
        <w:ind w:right="170"/>
        <w:rPr>
          <w:b/>
          <w:sz w:val="20"/>
        </w:rPr>
      </w:pPr>
    </w:p>
    <w:p w14:paraId="726B9E6D" w14:textId="77777777" w:rsidR="006854DE" w:rsidRPr="00A27FC1" w:rsidRDefault="006854DE" w:rsidP="006854DE">
      <w:pPr>
        <w:widowControl w:val="0"/>
        <w:ind w:left="170" w:right="170"/>
        <w:rPr>
          <w:b/>
          <w:sz w:val="20"/>
        </w:rPr>
      </w:pPr>
    </w:p>
    <w:p w14:paraId="25A9A386"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ED964" w14:textId="77777777" w:rsidR="00AD1804" w:rsidRDefault="00AD1804" w:rsidP="006854DE">
      <w:pPr>
        <w:spacing w:after="0" w:line="240" w:lineRule="auto"/>
      </w:pPr>
      <w:r>
        <w:separator/>
      </w:r>
    </w:p>
  </w:endnote>
  <w:endnote w:type="continuationSeparator" w:id="0">
    <w:p w14:paraId="0D2E421C" w14:textId="77777777" w:rsidR="00AD1804" w:rsidRDefault="00AD1804" w:rsidP="0068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9BDD" w14:textId="7417BD46" w:rsidR="006854DE" w:rsidRPr="000E3656" w:rsidRDefault="000E3656" w:rsidP="000E3656">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D630" w14:textId="207CC031" w:rsidR="006854DE" w:rsidRPr="000E3656" w:rsidRDefault="000E3656" w:rsidP="000E3656">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4E6D" w14:textId="46C8538F" w:rsidR="006854DE" w:rsidRPr="000E3656" w:rsidRDefault="000E3656" w:rsidP="000E3656">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A7B5" w14:textId="77777777" w:rsidR="00AD1804" w:rsidRDefault="00AD1804" w:rsidP="006854DE">
      <w:pPr>
        <w:spacing w:after="0" w:line="240" w:lineRule="auto"/>
      </w:pPr>
      <w:r>
        <w:separator/>
      </w:r>
    </w:p>
  </w:footnote>
  <w:footnote w:type="continuationSeparator" w:id="0">
    <w:p w14:paraId="513C915C" w14:textId="77777777" w:rsidR="00AD1804" w:rsidRDefault="00AD1804" w:rsidP="006854DE">
      <w:pPr>
        <w:spacing w:after="0" w:line="240" w:lineRule="auto"/>
      </w:pPr>
      <w:r>
        <w:continuationSeparator/>
      </w:r>
    </w:p>
  </w:footnote>
  <w:footnote w:id="1">
    <w:p w14:paraId="53466E3A" w14:textId="77777777" w:rsidR="006854DE" w:rsidRPr="00833CE0" w:rsidRDefault="006854DE" w:rsidP="006854DE">
      <w:pPr>
        <w:pStyle w:val="DipnotMetni"/>
        <w:rPr>
          <w:sz w:val="16"/>
          <w:szCs w:val="16"/>
        </w:rPr>
      </w:pPr>
      <w:r w:rsidRPr="00833CE0">
        <w:rPr>
          <w:rStyle w:val="DipnotBavurusu"/>
          <w:sz w:val="16"/>
          <w:szCs w:val="16"/>
        </w:rPr>
        <w:footnoteRef/>
      </w:r>
      <w:r w:rsidRPr="00833CE0">
        <w:rPr>
          <w:sz w:val="16"/>
          <w:szCs w:val="16"/>
        </w:rPr>
        <w:t xml:space="preserve"> 2016/30 sayılı Genelge ile değişikliğe uğramıştır.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D5" w14:textId="77777777" w:rsidR="006854DE" w:rsidRDefault="00685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39E8" w14:textId="77777777" w:rsidR="006854DE" w:rsidRDefault="006854D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7BAF" w14:textId="77777777" w:rsidR="006854DE" w:rsidRDefault="006854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2C"/>
    <w:rsid w:val="0007012C"/>
    <w:rsid w:val="000E3656"/>
    <w:rsid w:val="00343027"/>
    <w:rsid w:val="006854DE"/>
    <w:rsid w:val="007076AE"/>
    <w:rsid w:val="00833CE0"/>
    <w:rsid w:val="008F5C19"/>
    <w:rsid w:val="00AD1804"/>
    <w:rsid w:val="00CD5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2965"/>
  <w15:chartTrackingRefBased/>
  <w15:docId w15:val="{C3D391EE-FF51-4A39-80D1-E74FAD22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DE"/>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6854DE"/>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54DE"/>
    <w:rPr>
      <w:rFonts w:ascii="Arial" w:eastAsia="Times New Roman" w:hAnsi="Arial" w:cs="Arial"/>
      <w:b/>
      <w:sz w:val="36"/>
      <w:szCs w:val="20"/>
      <w:lang w:eastAsia="tr-TR"/>
    </w:rPr>
  </w:style>
  <w:style w:type="table" w:styleId="TabloKlavuzu">
    <w:name w:val="Table Grid"/>
    <w:basedOn w:val="NormalTablo"/>
    <w:uiPriority w:val="39"/>
    <w:rsid w:val="006854D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6854DE"/>
    <w:pPr>
      <w:spacing w:after="0" w:line="240" w:lineRule="auto"/>
    </w:pPr>
    <w:rPr>
      <w:sz w:val="20"/>
    </w:rPr>
  </w:style>
  <w:style w:type="character" w:customStyle="1" w:styleId="DipnotMetniChar">
    <w:name w:val="Dipnot Metni Char"/>
    <w:basedOn w:val="VarsaylanParagrafYazTipi"/>
    <w:link w:val="DipnotMetni"/>
    <w:rsid w:val="006854DE"/>
    <w:rPr>
      <w:rFonts w:ascii="Arial" w:eastAsia="Times New Roman" w:hAnsi="Arial" w:cs="Arial"/>
      <w:sz w:val="20"/>
      <w:szCs w:val="20"/>
      <w:lang w:eastAsia="tr-TR"/>
    </w:rPr>
  </w:style>
  <w:style w:type="character" w:styleId="DipnotBavurusu">
    <w:name w:val="footnote reference"/>
    <w:basedOn w:val="VarsaylanParagrafYazTipi"/>
    <w:unhideWhenUsed/>
    <w:rsid w:val="006854DE"/>
    <w:rPr>
      <w:vertAlign w:val="superscript"/>
    </w:rPr>
  </w:style>
  <w:style w:type="paragraph" w:styleId="stBilgi">
    <w:name w:val="header"/>
    <w:basedOn w:val="Normal"/>
    <w:link w:val="stBilgiChar"/>
    <w:uiPriority w:val="99"/>
    <w:unhideWhenUsed/>
    <w:rsid w:val="00685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54DE"/>
    <w:rPr>
      <w:rFonts w:ascii="Arial" w:eastAsia="Times New Roman" w:hAnsi="Arial" w:cs="Arial"/>
      <w:szCs w:val="20"/>
      <w:lang w:eastAsia="tr-TR"/>
    </w:rPr>
  </w:style>
  <w:style w:type="paragraph" w:styleId="AltBilgi">
    <w:name w:val="footer"/>
    <w:basedOn w:val="Normal"/>
    <w:link w:val="AltBilgiChar"/>
    <w:uiPriority w:val="99"/>
    <w:unhideWhenUsed/>
    <w:rsid w:val="00685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54DE"/>
    <w:rPr>
      <w:rFonts w:ascii="Arial" w:eastAsia="Times New Roman" w:hAnsi="Arial" w:cs="Arial"/>
      <w:szCs w:val="20"/>
      <w:lang w:eastAsia="tr-TR"/>
    </w:rPr>
  </w:style>
  <w:style w:type="character" w:customStyle="1" w:styleId="document-info-data">
    <w:name w:val="document-info-data"/>
    <w:rsid w:val="000E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805F33B-9735-4FAA-9DB5-F4D9322B45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820</Words>
  <Characters>4677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2023-08-08T12:34:00Z</cp:lastPrinted>
  <dcterms:created xsi:type="dcterms:W3CDTF">2022-12-15T07:38:00Z</dcterms:created>
  <dcterms:modified xsi:type="dcterms:W3CDTF">2023-08-08T12:34:00Z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42bb1c2b-85db-4479-9940-2d642eaba514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