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92" w:rsidRPr="003B6015" w:rsidRDefault="00817E92" w:rsidP="003B6015">
      <w:pPr>
        <w:pStyle w:val="ListParagraph"/>
        <w:numPr>
          <w:ilvl w:val="0"/>
          <w:numId w:val="15"/>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eastAsiaTheme="minorEastAsia" w:hAnsiTheme="minorHAnsi" w:cstheme="minorHAnsi"/>
          <w:noProof/>
          <w:sz w:val="22"/>
          <w:lang w:eastAsia="tr-TR"/>
        </w:rPr>
        <mc:AlternateContent>
          <mc:Choice Requires="wps">
            <w:drawing>
              <wp:anchor distT="0" distB="0" distL="114300" distR="114300" simplePos="0" relativeHeight="251661312" behindDoc="1" locked="0" layoutInCell="1" allowOverlap="1" wp14:anchorId="7BA17899" wp14:editId="7C9C7765">
                <wp:simplePos x="0" y="0"/>
                <wp:positionH relativeFrom="margin">
                  <wp:posOffset>-95885</wp:posOffset>
                </wp:positionH>
                <wp:positionV relativeFrom="paragraph">
                  <wp:posOffset>-510540</wp:posOffset>
                </wp:positionV>
                <wp:extent cx="8941435" cy="329565"/>
                <wp:effectExtent l="0" t="0" r="12065" b="32385"/>
                <wp:wrapTight wrapText="bothSides">
                  <wp:wrapPolygon edited="0">
                    <wp:start x="0" y="0"/>
                    <wp:lineTo x="0" y="22474"/>
                    <wp:lineTo x="21583" y="22474"/>
                    <wp:lineTo x="21583" y="0"/>
                    <wp:lineTo x="0" y="0"/>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1435" cy="32956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B2208C" w:rsidRDefault="00681018" w:rsidP="00681018">
                            <w:pPr>
                              <w:jc w:val="center"/>
                              <w:rPr>
                                <w:b/>
                                <w:sz w:val="28"/>
                                <w:szCs w:val="28"/>
                              </w:rPr>
                            </w:pPr>
                            <w:r>
                              <w:rPr>
                                <w:b/>
                                <w:sz w:val="28"/>
                                <w:szCs w:val="28"/>
                              </w:rPr>
                              <w:t>(</w:t>
                            </w:r>
                            <w:r w:rsidR="00817E92">
                              <w:rPr>
                                <w:b/>
                                <w:sz w:val="28"/>
                                <w:szCs w:val="28"/>
                              </w:rPr>
                              <w:t>EK -</w:t>
                            </w:r>
                            <w:r w:rsidR="00B2208C">
                              <w:rPr>
                                <w:b/>
                                <w:sz w:val="28"/>
                                <w:szCs w:val="28"/>
                              </w:rPr>
                              <w:t>5</w:t>
                            </w:r>
                            <w:r>
                              <w:rPr>
                                <w:b/>
                                <w:sz w:val="28"/>
                                <w:szCs w:val="28"/>
                              </w:rPr>
                              <w:t>)</w:t>
                            </w:r>
                            <w:r w:rsidR="00817E92">
                              <w:rPr>
                                <w:b/>
                                <w:sz w:val="28"/>
                                <w:szCs w:val="28"/>
                              </w:rPr>
                              <w:t xml:space="preserve"> </w:t>
                            </w:r>
                            <w:r w:rsidR="00B2208C">
                              <w:rPr>
                                <w:b/>
                                <w:sz w:val="28"/>
                                <w:szCs w:val="28"/>
                              </w:rPr>
                              <w:t>GİRİŞ BİLGİ FORMU (İşveren Grup Emeklilik Sözleşmesi için)</w:t>
                            </w:r>
                          </w:p>
                          <w:p w:rsidR="00ED06C7" w:rsidRPr="007D27CF" w:rsidRDefault="00ED06C7" w:rsidP="00817E92">
                            <w:pPr>
                              <w:rPr>
                                <w:b/>
                                <w:sz w:val="28"/>
                                <w:szCs w:val="28"/>
                              </w:rPr>
                            </w:pPr>
                          </w:p>
                          <w:p w:rsidR="00ED06C7" w:rsidRPr="007D27CF" w:rsidRDefault="00ED06C7" w:rsidP="00ED06C7">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17899" id="_x0000_t202" coordsize="21600,21600" o:spt="202" path="m,l,21600r21600,l21600,xe">
                <v:stroke joinstyle="miter"/>
                <v:path gradientshapeok="t" o:connecttype="rect"/>
              </v:shapetype>
              <v:shape id="Text Box 14" o:spid="_x0000_s1026" type="#_x0000_t202" style="position:absolute;left:0;text-align:left;margin-left:-7.55pt;margin-top:-40.2pt;width:704.05pt;height:25.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" fillcolor="#f79646" stroked="f" strokeweight="0">
                <v:fill color2="#e16b0a" focusposition=".5,.5" focussize="" focus="100%" type="gradientRadial"/>
                <v:shadow on="t" color="#984807" offset="1pt"/>
                <v:textbox>
                  <w:txbxContent>
                    <w:p w:rsidR="00B2208C" w:rsidRDefault="00681018" w:rsidP="00681018">
                      <w:pPr>
                        <w:jc w:val="center"/>
                        <w:rPr>
                          <w:b/>
                          <w:sz w:val="28"/>
                          <w:szCs w:val="28"/>
                        </w:rPr>
                      </w:pPr>
                      <w:r>
                        <w:rPr>
                          <w:b/>
                          <w:sz w:val="28"/>
                          <w:szCs w:val="28"/>
                        </w:rPr>
                        <w:t>(</w:t>
                      </w:r>
                      <w:r w:rsidR="00817E92">
                        <w:rPr>
                          <w:b/>
                          <w:sz w:val="28"/>
                          <w:szCs w:val="28"/>
                        </w:rPr>
                        <w:t>EK -</w:t>
                      </w:r>
                      <w:r w:rsidR="00B2208C">
                        <w:rPr>
                          <w:b/>
                          <w:sz w:val="28"/>
                          <w:szCs w:val="28"/>
                        </w:rPr>
                        <w:t>5</w:t>
                      </w:r>
                      <w:r>
                        <w:rPr>
                          <w:b/>
                          <w:sz w:val="28"/>
                          <w:szCs w:val="28"/>
                        </w:rPr>
                        <w:t>)</w:t>
                      </w:r>
                      <w:r w:rsidR="00817E92">
                        <w:rPr>
                          <w:b/>
                          <w:sz w:val="28"/>
                          <w:szCs w:val="28"/>
                        </w:rPr>
                        <w:t xml:space="preserve"> </w:t>
                      </w:r>
                      <w:r w:rsidR="00B2208C">
                        <w:rPr>
                          <w:b/>
                          <w:sz w:val="28"/>
                          <w:szCs w:val="28"/>
                        </w:rPr>
                        <w:t>GİRİŞ BİLGİ FORMU (İşveren Grup Emeklilik Sözleşmesi için)</w:t>
                      </w:r>
                    </w:p>
                    <w:p w:rsidR="00ED06C7" w:rsidRPr="007D27CF" w:rsidRDefault="00ED06C7" w:rsidP="00817E92">
                      <w:pPr>
                        <w:rPr>
                          <w:b/>
                          <w:sz w:val="28"/>
                          <w:szCs w:val="28"/>
                        </w:rPr>
                      </w:pPr>
                    </w:p>
                    <w:p w:rsidR="00ED06C7" w:rsidRPr="007D27CF" w:rsidRDefault="00ED06C7" w:rsidP="00ED06C7">
                      <w:pPr>
                        <w:rPr>
                          <w:szCs w:val="28"/>
                        </w:rPr>
                      </w:pPr>
                      <w:r w:rsidRPr="007D27CF">
                        <w:rPr>
                          <w:b/>
                          <w:sz w:val="28"/>
                          <w:szCs w:val="28"/>
                        </w:rPr>
                        <w:t>(Bireysel ve Gruba Bağlı Bireysel Emeklilik Sözleşmeleri için)</w:t>
                      </w:r>
                    </w:p>
                  </w:txbxContent>
                </v:textbox>
                <w10:wrap type="tight" anchorx="margin"/>
              </v:shape>
            </w:pict>
          </mc:Fallback>
        </mc:AlternateContent>
      </w:r>
      <w:r w:rsidR="003B6015" w:rsidRPr="003B6015">
        <w:rPr>
          <w:rFonts w:asciiTheme="minorHAnsi" w:hAnsiTheme="minorHAnsi" w:cstheme="minorHAnsi"/>
          <w:b/>
          <w:color w:val="FFC000"/>
          <w:sz w:val="22"/>
        </w:rPr>
        <w:t>AVANTAJLAR</w:t>
      </w:r>
    </w:p>
    <w:p w:rsidR="003B6015" w:rsidRPr="003B6015" w:rsidRDefault="003B6015" w:rsidP="003B6015">
      <w:pPr>
        <w:pStyle w:val="ListParagraph"/>
        <w:autoSpaceDE w:val="0"/>
        <w:autoSpaceDN w:val="0"/>
        <w:adjustRightInd w:val="0"/>
        <w:spacing w:after="0" w:line="240" w:lineRule="auto"/>
        <w:jc w:val="both"/>
        <w:rPr>
          <w:rFonts w:asciiTheme="minorHAnsi" w:hAnsiTheme="minorHAnsi" w:cstheme="minorHAnsi"/>
          <w:b/>
          <w:color w:val="FFC000"/>
          <w:sz w:val="22"/>
        </w:rPr>
      </w:pPr>
    </w:p>
    <w:p w:rsidR="003B6015" w:rsidRPr="003B6015" w:rsidRDefault="003B6015" w:rsidP="003B6015">
      <w:pPr>
        <w:pStyle w:val="ListParagraph"/>
        <w:numPr>
          <w:ilvl w:val="0"/>
          <w:numId w:val="16"/>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VERGİSEL TEŞVİKLER</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6"/>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 xml:space="preserve">Çalışanlar için ödenen katkı payları kanunen kabul edilen giderler arasında sayılmaktadır. </w:t>
      </w:r>
    </w:p>
    <w:p w:rsidR="003B6015" w:rsidRPr="003B6015" w:rsidRDefault="003B6015" w:rsidP="003B6015">
      <w:pPr>
        <w:pStyle w:val="ListParagraph"/>
        <w:numPr>
          <w:ilvl w:val="0"/>
          <w:numId w:val="6"/>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Her bir çalışan için kurumlar vergisi matrahından indirebilecek tutar, ilgili çalışanın brüt aylık gelirinin %15’ini ve brüt asgari ücretin yıllık tutarını aşamayacaktır.</w:t>
      </w:r>
    </w:p>
    <w:p w:rsidR="003B6015" w:rsidRPr="003B6015" w:rsidRDefault="003B6015" w:rsidP="003B6015">
      <w:pPr>
        <w:pStyle w:val="ListParagraph"/>
        <w:numPr>
          <w:ilvl w:val="0"/>
          <w:numId w:val="6"/>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Emeklilik yatırım fonlarının elde ettikleri kazançlar üzerinden gelir vergi kesintisi yapılmamaktadır.</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16"/>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DİĞER TEŞVİKLER</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7"/>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 xml:space="preserve">Çalışanlar için ödenen katkı payının, aylık asgari ücretin %30’una kadar olan kısmı sosyal güvenlik primine esas kazanca tabi tutulmamaktadır. </w:t>
      </w:r>
    </w:p>
    <w:p w:rsidR="003B6015" w:rsidRPr="003B6015" w:rsidRDefault="003B6015" w:rsidP="003B6015">
      <w:pPr>
        <w:pStyle w:val="ListParagraph"/>
        <w:numPr>
          <w:ilvl w:val="0"/>
          <w:numId w:val="7"/>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Hak kazanma süresi yedi yıldan fazla olamaz. Katılımcının işinden ayrılması veya grup emeklilik planından çıkması durumunda, katılımcı tarafından hak kazanılmayan tutarlar işverene ödenmektedir. Mevzuatta belirlenen istisnai durumlarda, bu ödeme katılımcıya da yapılabilir.</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16"/>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ESNEKLİK</w:t>
      </w:r>
    </w:p>
    <w:p w:rsidR="003B6015" w:rsidRPr="003B6015" w:rsidRDefault="003B6015" w:rsidP="003B6015">
      <w:pPr>
        <w:autoSpaceDE w:val="0"/>
        <w:autoSpaceDN w:val="0"/>
        <w:adjustRightInd w:val="0"/>
        <w:spacing w:after="0" w:line="240" w:lineRule="auto"/>
        <w:jc w:val="both"/>
        <w:rPr>
          <w:rFonts w:cstheme="minorHAnsi"/>
        </w:rPr>
      </w:pPr>
    </w:p>
    <w:p w:rsidR="003B6015" w:rsidRDefault="000C435F" w:rsidP="003B6015">
      <w:pPr>
        <w:pStyle w:val="ListParagraph"/>
        <w:numPr>
          <w:ilvl w:val="0"/>
          <w:numId w:val="8"/>
        </w:numPr>
        <w:autoSpaceDE w:val="0"/>
        <w:autoSpaceDN w:val="0"/>
        <w:adjustRightInd w:val="0"/>
        <w:spacing w:after="0" w:line="240" w:lineRule="auto"/>
        <w:ind w:left="142" w:hanging="142"/>
        <w:jc w:val="both"/>
        <w:rPr>
          <w:rFonts w:asciiTheme="minorHAnsi" w:hAnsiTheme="minorHAnsi" w:cstheme="minorHAnsi"/>
          <w:sz w:val="22"/>
        </w:rPr>
      </w:pPr>
      <w:r>
        <w:rPr>
          <w:rFonts w:asciiTheme="minorHAnsi" w:hAnsiTheme="minorHAnsi" w:cstheme="minorHAnsi"/>
          <w:sz w:val="22"/>
        </w:rPr>
        <w:t xml:space="preserve">Yılda 4 defa emeklilik </w:t>
      </w:r>
      <w:r w:rsidRPr="004350A3">
        <w:rPr>
          <w:rFonts w:asciiTheme="minorHAnsi" w:hAnsiTheme="minorHAnsi" w:cstheme="minorHAnsi"/>
          <w:sz w:val="22"/>
        </w:rPr>
        <w:t>planı, 12</w:t>
      </w:r>
      <w:r w:rsidR="003B6015" w:rsidRPr="003B6015">
        <w:rPr>
          <w:rFonts w:asciiTheme="minorHAnsi" w:hAnsiTheme="minorHAnsi" w:cstheme="minorHAnsi"/>
          <w:sz w:val="22"/>
        </w:rPr>
        <w:t xml:space="preserve"> defa fon dağılımı ve (sözleşmenin akdedildiği tarihi müteakip en az iki yıl geçmesi şartıyla) 1 defa emeklilik şirketi değiştirilebilmektedir.</w:t>
      </w:r>
    </w:p>
    <w:p w:rsidR="000C435F" w:rsidRPr="004350A3" w:rsidRDefault="000C435F" w:rsidP="000C435F">
      <w:pPr>
        <w:pStyle w:val="ListParagraph"/>
        <w:numPr>
          <w:ilvl w:val="0"/>
          <w:numId w:val="8"/>
        </w:numPr>
        <w:rPr>
          <w:rFonts w:asciiTheme="minorHAnsi" w:hAnsiTheme="minorHAnsi" w:cstheme="minorHAnsi"/>
          <w:sz w:val="22"/>
        </w:rPr>
      </w:pPr>
      <w:r w:rsidRPr="004350A3">
        <w:rPr>
          <w:rFonts w:asciiTheme="minorHAnsi" w:hAnsiTheme="minorHAnsi" w:cstheme="minorHAnsi"/>
          <w:sz w:val="22"/>
        </w:rPr>
        <w:t>Fon dağılımı değişikliği yoluyla başka şirketlerin kurucusu olduğu fonlar BEFAS (Bireysel Emeklilik Fon Alım Satım Platformu) üzerinden tercih edilebilir.</w:t>
      </w:r>
    </w:p>
    <w:p w:rsidR="00E119F9" w:rsidRPr="003B6015" w:rsidRDefault="00E119F9" w:rsidP="00817E92">
      <w:pPr>
        <w:autoSpaceDE w:val="0"/>
        <w:autoSpaceDN w:val="0"/>
        <w:adjustRightInd w:val="0"/>
        <w:spacing w:after="0" w:line="240" w:lineRule="auto"/>
        <w:jc w:val="both"/>
        <w:rPr>
          <w:rFonts w:cstheme="minorHAnsi"/>
        </w:rPr>
      </w:pPr>
    </w:p>
    <w:p w:rsidR="00BF672E" w:rsidRPr="003B6015" w:rsidRDefault="003B6015" w:rsidP="003B6015">
      <w:pPr>
        <w:pStyle w:val="ListParagraph"/>
        <w:numPr>
          <w:ilvl w:val="0"/>
          <w:numId w:val="15"/>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KESİNTİLER</w:t>
      </w:r>
    </w:p>
    <w:p w:rsidR="003B6015" w:rsidRDefault="003B6015" w:rsidP="003B6015">
      <w:pPr>
        <w:autoSpaceDE w:val="0"/>
        <w:autoSpaceDN w:val="0"/>
        <w:adjustRightInd w:val="0"/>
        <w:spacing w:after="0" w:line="240" w:lineRule="auto"/>
        <w:rPr>
          <w:rFonts w:cstheme="minorHAnsi"/>
          <w:b/>
          <w:color w:val="FFC000"/>
        </w:rPr>
      </w:pPr>
    </w:p>
    <w:p w:rsidR="003B6015" w:rsidRPr="003B6015" w:rsidRDefault="003B6015" w:rsidP="003B6015">
      <w:pPr>
        <w:autoSpaceDE w:val="0"/>
        <w:autoSpaceDN w:val="0"/>
        <w:adjustRightInd w:val="0"/>
        <w:spacing w:after="0" w:line="240" w:lineRule="auto"/>
        <w:rPr>
          <w:rFonts w:cstheme="minorHAnsi"/>
          <w:b/>
        </w:rPr>
      </w:pPr>
      <w:r w:rsidRPr="003B6015">
        <w:rPr>
          <w:rFonts w:cstheme="minorHAnsi"/>
          <w:b/>
          <w:color w:val="FFC000"/>
        </w:rPr>
        <w:t>MASRAF PAYI</w:t>
      </w:r>
    </w:p>
    <w:p w:rsidR="003B6015" w:rsidRPr="003B6015" w:rsidRDefault="003B6015" w:rsidP="003B6015">
      <w:pPr>
        <w:autoSpaceDE w:val="0"/>
        <w:autoSpaceDN w:val="0"/>
        <w:adjustRightInd w:val="0"/>
        <w:spacing w:after="0" w:line="240" w:lineRule="auto"/>
        <w:rPr>
          <w:rFonts w:cstheme="minorHAnsi"/>
        </w:rPr>
      </w:pPr>
    </w:p>
    <w:p w:rsidR="003B6015" w:rsidRPr="003B6015" w:rsidRDefault="003B6015" w:rsidP="003B6015">
      <w:pPr>
        <w:pStyle w:val="ListParagraph"/>
        <w:numPr>
          <w:ilvl w:val="0"/>
          <w:numId w:val="9"/>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Katkı payı ödemeye ara verilirse, birikim veya katkı payları üzerinden, çalışanların hesabındaki birikim</w:t>
      </w:r>
      <w:r>
        <w:rPr>
          <w:rFonts w:asciiTheme="minorHAnsi" w:hAnsiTheme="minorHAnsi" w:cstheme="minorHAnsi"/>
          <w:sz w:val="22"/>
        </w:rPr>
        <w:t xml:space="preserve">lerden Yönetim Gider Kesintisi </w:t>
      </w:r>
      <w:r w:rsidRPr="003B6015">
        <w:rPr>
          <w:rFonts w:asciiTheme="minorHAnsi" w:hAnsiTheme="minorHAnsi" w:cstheme="minorHAnsi"/>
          <w:sz w:val="22"/>
        </w:rPr>
        <w:t>yapılabilir.</w:t>
      </w:r>
    </w:p>
    <w:p w:rsidR="003B6015" w:rsidRPr="003B6015" w:rsidRDefault="003B6015" w:rsidP="003B6015">
      <w:pPr>
        <w:pStyle w:val="ListParagraph"/>
        <w:numPr>
          <w:ilvl w:val="0"/>
          <w:numId w:val="9"/>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Bir yıldan fazla ödemeye ara verilirse bireysel emeklilik hesabına ilişkin olarak emeklilik gözetim merkezine şirket tarafından ödenen sabit giderler için masraf kesintisi yapılabilir.</w:t>
      </w:r>
    </w:p>
    <w:p w:rsidR="003B6015" w:rsidRPr="003B6015" w:rsidRDefault="003B6015" w:rsidP="003B6015">
      <w:pPr>
        <w:pStyle w:val="ListParagraph"/>
        <w:numPr>
          <w:ilvl w:val="0"/>
          <w:numId w:val="9"/>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Fon varlıklarından günlük olarak Fon Toplam Gider Kesintisi yapılacaktır.</w:t>
      </w:r>
    </w:p>
    <w:p w:rsidR="003B6015" w:rsidRPr="003B6015" w:rsidRDefault="003B6015" w:rsidP="003B6015">
      <w:pPr>
        <w:pStyle w:val="ListParagraph"/>
        <w:numPr>
          <w:ilvl w:val="0"/>
          <w:numId w:val="9"/>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Dahil olunacak emeklilik planında Giriş Aidatı kesintisi bulunabilir. Bu durumda, söz konusu kesinti emeklilik sözleşmesi kapsamında işverenden tahsil edilir.</w:t>
      </w:r>
    </w:p>
    <w:p w:rsidR="003B6015" w:rsidRPr="003B6015" w:rsidRDefault="003B6015" w:rsidP="003B6015">
      <w:pPr>
        <w:autoSpaceDE w:val="0"/>
        <w:autoSpaceDN w:val="0"/>
        <w:adjustRightInd w:val="0"/>
        <w:spacing w:after="0" w:line="240" w:lineRule="auto"/>
        <w:ind w:left="142"/>
        <w:jc w:val="both"/>
        <w:rPr>
          <w:rFonts w:cstheme="minorHAnsi"/>
        </w:rPr>
      </w:pPr>
      <w:r>
        <w:rPr>
          <w:rFonts w:cstheme="minorHAnsi"/>
        </w:rPr>
        <w:t xml:space="preserve">* </w:t>
      </w:r>
      <w:r w:rsidRPr="003B6015">
        <w:rPr>
          <w:rFonts w:cstheme="minorHAnsi"/>
        </w:rPr>
        <w:t xml:space="preserve">Bu kesintilerin ayrıntıları için </w:t>
      </w:r>
      <w:r>
        <w:rPr>
          <w:rFonts w:cstheme="minorHAnsi"/>
        </w:rPr>
        <w:t>teklif formunda yer almaktadır.</w:t>
      </w:r>
    </w:p>
    <w:p w:rsidR="003B6015" w:rsidRPr="003B6015" w:rsidRDefault="003B6015" w:rsidP="003B6015">
      <w:pPr>
        <w:pStyle w:val="ListParagraph"/>
        <w:rPr>
          <w:rFonts w:asciiTheme="minorHAnsi" w:hAnsiTheme="minorHAnsi" w:cstheme="minorHAnsi"/>
          <w:b/>
          <w:sz w:val="22"/>
          <w:u w:val="single"/>
        </w:rPr>
      </w:pPr>
    </w:p>
    <w:p w:rsidR="003B6015" w:rsidRDefault="003B6015" w:rsidP="003B6015">
      <w:pPr>
        <w:pStyle w:val="ListParagraph"/>
        <w:numPr>
          <w:ilvl w:val="0"/>
          <w:numId w:val="15"/>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 xml:space="preserve">SÖZLEŞME </w:t>
      </w:r>
      <w:r>
        <w:rPr>
          <w:rFonts w:asciiTheme="minorHAnsi" w:hAnsiTheme="minorHAnsi" w:cstheme="minorHAnsi"/>
          <w:b/>
          <w:color w:val="FFC000"/>
          <w:sz w:val="22"/>
        </w:rPr>
        <w:t>YÜRÜRLÜĞÜ</w:t>
      </w:r>
    </w:p>
    <w:p w:rsidR="003B6015" w:rsidRPr="003B6015" w:rsidRDefault="003B6015" w:rsidP="003B6015">
      <w:pPr>
        <w:pStyle w:val="ListParagraph"/>
        <w:autoSpaceDE w:val="0"/>
        <w:autoSpaceDN w:val="0"/>
        <w:adjustRightInd w:val="0"/>
        <w:spacing w:after="0" w:line="240" w:lineRule="auto"/>
        <w:jc w:val="both"/>
        <w:rPr>
          <w:rFonts w:asciiTheme="minorHAnsi" w:hAnsiTheme="minorHAnsi" w:cstheme="minorHAnsi"/>
          <w:b/>
          <w:color w:val="FFC000"/>
          <w:sz w:val="22"/>
        </w:rPr>
      </w:pPr>
    </w:p>
    <w:p w:rsidR="003B6015" w:rsidRDefault="003B6015" w:rsidP="003B6015">
      <w:pPr>
        <w:pStyle w:val="ListParagraph"/>
        <w:numPr>
          <w:ilvl w:val="0"/>
          <w:numId w:val="11"/>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Sözleşme</w:t>
      </w:r>
      <w:r>
        <w:rPr>
          <w:rFonts w:asciiTheme="minorHAnsi" w:hAnsiTheme="minorHAnsi" w:cstheme="minorHAnsi"/>
          <w:sz w:val="22"/>
        </w:rPr>
        <w:t>ye bağlı sertifikalar</w:t>
      </w:r>
      <w:r w:rsidRPr="003B6015">
        <w:rPr>
          <w:rFonts w:asciiTheme="minorHAnsi" w:hAnsiTheme="minorHAnsi" w:cstheme="minorHAnsi"/>
          <w:sz w:val="22"/>
        </w:rPr>
        <w:t>, ilk katkı payının şirket hesaplarına intikal ettiği tarih itibarıyla yürürlüğe girer.</w:t>
      </w:r>
    </w:p>
    <w:p w:rsidR="003B6015" w:rsidRPr="003B6015" w:rsidRDefault="003B6015" w:rsidP="003B6015">
      <w:pPr>
        <w:pStyle w:val="ListParagraph"/>
        <w:autoSpaceDE w:val="0"/>
        <w:autoSpaceDN w:val="0"/>
        <w:adjustRightInd w:val="0"/>
        <w:spacing w:after="0" w:line="240" w:lineRule="auto"/>
        <w:ind w:left="142"/>
        <w:jc w:val="both"/>
        <w:rPr>
          <w:rFonts w:asciiTheme="minorHAnsi" w:hAnsiTheme="minorHAnsi" w:cstheme="minorHAnsi"/>
          <w:sz w:val="22"/>
        </w:rPr>
      </w:pPr>
    </w:p>
    <w:p w:rsidR="003B6015" w:rsidRDefault="003B6015" w:rsidP="003B6015">
      <w:pPr>
        <w:pStyle w:val="ListParagraph"/>
        <w:numPr>
          <w:ilvl w:val="0"/>
          <w:numId w:val="15"/>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DİĞER BİLGİLER</w:t>
      </w:r>
    </w:p>
    <w:p w:rsidR="003B6015" w:rsidRPr="003B6015" w:rsidRDefault="003B6015" w:rsidP="003B6015">
      <w:pPr>
        <w:pStyle w:val="ListParagraph"/>
        <w:autoSpaceDE w:val="0"/>
        <w:autoSpaceDN w:val="0"/>
        <w:adjustRightInd w:val="0"/>
        <w:spacing w:after="0" w:line="240" w:lineRule="auto"/>
        <w:jc w:val="both"/>
        <w:rPr>
          <w:rFonts w:asciiTheme="minorHAnsi" w:hAnsiTheme="minorHAnsi" w:cstheme="minorHAnsi"/>
          <w:b/>
          <w:color w:val="FFC000"/>
          <w:sz w:val="22"/>
        </w:rPr>
      </w:pPr>
    </w:p>
    <w:p w:rsidR="003B6015" w:rsidRPr="003B6015" w:rsidRDefault="003B6015" w:rsidP="003B6015">
      <w:pPr>
        <w:autoSpaceDE w:val="0"/>
        <w:autoSpaceDN w:val="0"/>
        <w:adjustRightInd w:val="0"/>
        <w:spacing w:after="0" w:line="240" w:lineRule="auto"/>
        <w:jc w:val="both"/>
        <w:rPr>
          <w:rFonts w:cstheme="minorHAnsi"/>
          <w:b/>
          <w:color w:val="FFC000"/>
        </w:rPr>
      </w:pPr>
      <w:r w:rsidRPr="003B6015">
        <w:rPr>
          <w:rFonts w:cstheme="minorHAnsi"/>
          <w:b/>
          <w:color w:val="FFC000"/>
        </w:rPr>
        <w:t>YATIRIM SÜRECİ</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12"/>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 xml:space="preserve">Katkı payları, emeklilik şirketinin hesabına intikalini takip eden en geç ikinci iş gününde yatırıma yönlendirilmek zorundadır. </w:t>
      </w:r>
    </w:p>
    <w:p w:rsidR="003B6015" w:rsidRPr="003B6015" w:rsidRDefault="003B6015" w:rsidP="003B6015">
      <w:pPr>
        <w:pStyle w:val="ListParagraph"/>
        <w:numPr>
          <w:ilvl w:val="0"/>
          <w:numId w:val="12"/>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Birikimler, yatırılan katkı payları ve seçilen emeklilik yatırım fonlarının getirilerine göre değişkenlik gösterebilecek olup sistemde getiri garantisi bulunmamaktadır.</w:t>
      </w:r>
    </w:p>
    <w:p w:rsidR="003B6015" w:rsidRPr="003B6015" w:rsidRDefault="003B6015" w:rsidP="003B6015">
      <w:pPr>
        <w:pStyle w:val="ListParagraph"/>
        <w:numPr>
          <w:ilvl w:val="0"/>
          <w:numId w:val="12"/>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Birikimler emeklilik şirketinden bağımsız bir saklayıcı kuruluşta sa</w:t>
      </w:r>
      <w:bookmarkStart w:id="0" w:name="_GoBack"/>
      <w:bookmarkEnd w:id="0"/>
      <w:r w:rsidRPr="003B6015">
        <w:rPr>
          <w:rFonts w:asciiTheme="minorHAnsi" w:hAnsiTheme="minorHAnsi" w:cstheme="minorHAnsi"/>
          <w:sz w:val="22"/>
        </w:rPr>
        <w:t>klanmaktadır.</w:t>
      </w:r>
    </w:p>
    <w:p w:rsidR="003B6015" w:rsidRPr="003B6015" w:rsidRDefault="003B6015" w:rsidP="003B6015">
      <w:pPr>
        <w:autoSpaceDE w:val="0"/>
        <w:autoSpaceDN w:val="0"/>
        <w:adjustRightInd w:val="0"/>
        <w:spacing w:after="0" w:line="240" w:lineRule="auto"/>
        <w:ind w:left="142" w:hanging="142"/>
        <w:jc w:val="both"/>
        <w:rPr>
          <w:rFonts w:cstheme="minorHAnsi"/>
          <w:b/>
        </w:rPr>
      </w:pPr>
    </w:p>
    <w:p w:rsidR="003B6015" w:rsidRPr="003B6015" w:rsidRDefault="003B6015" w:rsidP="003B6015">
      <w:pPr>
        <w:autoSpaceDE w:val="0"/>
        <w:autoSpaceDN w:val="0"/>
        <w:adjustRightInd w:val="0"/>
        <w:spacing w:after="0" w:line="240" w:lineRule="auto"/>
        <w:jc w:val="both"/>
        <w:rPr>
          <w:rFonts w:cstheme="minorHAnsi"/>
          <w:b/>
          <w:color w:val="FFC000"/>
        </w:rPr>
      </w:pPr>
      <w:r w:rsidRPr="003B6015">
        <w:rPr>
          <w:rFonts w:cstheme="minorHAnsi"/>
          <w:b/>
          <w:color w:val="FFC000"/>
        </w:rPr>
        <w:t>ÇALIŞANA BİLDİRİM</w:t>
      </w:r>
    </w:p>
    <w:p w:rsidR="003B6015" w:rsidRPr="003B6015" w:rsidRDefault="003B6015" w:rsidP="003B6015">
      <w:pPr>
        <w:autoSpaceDE w:val="0"/>
        <w:autoSpaceDN w:val="0"/>
        <w:adjustRightInd w:val="0"/>
        <w:spacing w:after="0" w:line="240" w:lineRule="auto"/>
        <w:jc w:val="both"/>
        <w:rPr>
          <w:rFonts w:cstheme="minorHAnsi"/>
        </w:rPr>
      </w:pPr>
    </w:p>
    <w:p w:rsidR="003B6015" w:rsidRPr="003B6015" w:rsidRDefault="003B6015" w:rsidP="003B6015">
      <w:pPr>
        <w:pStyle w:val="ListParagraph"/>
        <w:numPr>
          <w:ilvl w:val="0"/>
          <w:numId w:val="13"/>
        </w:numPr>
        <w:autoSpaceDE w:val="0"/>
        <w:autoSpaceDN w:val="0"/>
        <w:adjustRightInd w:val="0"/>
        <w:spacing w:after="0" w:line="240" w:lineRule="auto"/>
        <w:ind w:left="142" w:hanging="142"/>
        <w:jc w:val="both"/>
        <w:rPr>
          <w:rFonts w:asciiTheme="minorHAnsi" w:hAnsiTheme="minorHAnsi" w:cstheme="minorHAnsi"/>
          <w:sz w:val="22"/>
        </w:rPr>
      </w:pPr>
      <w:r w:rsidRPr="003B6015">
        <w:rPr>
          <w:rFonts w:asciiTheme="minorHAnsi" w:hAnsiTheme="minorHAnsi" w:cstheme="minorHAnsi"/>
          <w:sz w:val="22"/>
        </w:rPr>
        <w:t>Çalışan için ödenmesi gereken bir katkı payının, ödenmesi gerekli günden itibaren 30 gün içinde ödenmemesi halinde, mevzuat uyarınca, bu durum emeklilik şirketi tarafından çalışana 5 iş günü içinde bildirilmek zorundadır.</w:t>
      </w:r>
    </w:p>
    <w:p w:rsidR="003B6015" w:rsidRPr="003B6015" w:rsidRDefault="003B6015" w:rsidP="003B6015">
      <w:pPr>
        <w:pStyle w:val="ListParagraph"/>
        <w:rPr>
          <w:rFonts w:asciiTheme="minorHAnsi" w:hAnsiTheme="minorHAnsi" w:cstheme="minorHAnsi"/>
          <w:b/>
          <w:sz w:val="22"/>
          <w:u w:val="single"/>
        </w:rPr>
      </w:pPr>
    </w:p>
    <w:p w:rsidR="003B6015" w:rsidRPr="002C4E3A" w:rsidRDefault="003B6015" w:rsidP="003B6015">
      <w:pPr>
        <w:pStyle w:val="ListParagraph"/>
        <w:numPr>
          <w:ilvl w:val="0"/>
          <w:numId w:val="15"/>
        </w:numPr>
        <w:autoSpaceDE w:val="0"/>
        <w:autoSpaceDN w:val="0"/>
        <w:adjustRightInd w:val="0"/>
        <w:spacing w:after="0" w:line="240" w:lineRule="auto"/>
        <w:jc w:val="both"/>
        <w:rPr>
          <w:rFonts w:asciiTheme="minorHAnsi" w:hAnsiTheme="minorHAnsi" w:cstheme="minorHAnsi"/>
          <w:b/>
          <w:color w:val="FFC000"/>
          <w:sz w:val="22"/>
        </w:rPr>
      </w:pPr>
      <w:r w:rsidRPr="003B6015">
        <w:rPr>
          <w:rFonts w:asciiTheme="minorHAnsi" w:hAnsiTheme="minorHAnsi" w:cstheme="minorHAnsi"/>
          <w:b/>
          <w:color w:val="FFC000"/>
          <w:sz w:val="22"/>
        </w:rPr>
        <w:t xml:space="preserve">FORM BİLGİSİ </w:t>
      </w:r>
    </w:p>
    <w:p w:rsidR="006D74D3" w:rsidRPr="003B6015" w:rsidRDefault="006D74D3" w:rsidP="006D74D3">
      <w:pPr>
        <w:pStyle w:val="ListParagraph"/>
        <w:autoSpaceDE w:val="0"/>
        <w:autoSpaceDN w:val="0"/>
        <w:adjustRightInd w:val="0"/>
        <w:spacing w:after="0" w:line="240" w:lineRule="auto"/>
        <w:jc w:val="both"/>
        <w:rPr>
          <w:rFonts w:asciiTheme="minorHAnsi" w:hAnsiTheme="minorHAnsi" w:cstheme="minorHAnsi"/>
          <w:sz w:val="22"/>
        </w:rPr>
      </w:pPr>
    </w:p>
    <w:p w:rsidR="006D74D3" w:rsidRPr="006D74D3" w:rsidRDefault="006D74D3" w:rsidP="006D74D3">
      <w:pPr>
        <w:autoSpaceDE w:val="0"/>
        <w:autoSpaceDN w:val="0"/>
        <w:adjustRightInd w:val="0"/>
        <w:spacing w:after="0" w:line="240" w:lineRule="auto"/>
        <w:jc w:val="both"/>
        <w:rPr>
          <w:rFonts w:cstheme="minorHAnsi"/>
        </w:rPr>
      </w:pPr>
      <w:r w:rsidRPr="006D74D3">
        <w:rPr>
          <w:rFonts w:cstheme="minorHAnsi"/>
        </w:rPr>
        <w:t>İşyerinin Ticaret Unvanı</w:t>
      </w:r>
      <w:r w:rsidRPr="006D74D3">
        <w:rPr>
          <w:rFonts w:cstheme="minorHAnsi"/>
        </w:rPr>
        <w:tab/>
      </w:r>
      <w:r w:rsidRPr="006D74D3">
        <w:rPr>
          <w:rFonts w:cstheme="minorHAnsi"/>
        </w:rPr>
        <w:tab/>
        <w:t>:</w:t>
      </w:r>
    </w:p>
    <w:p w:rsidR="006D74D3" w:rsidRPr="006D74D3" w:rsidRDefault="006D74D3" w:rsidP="006D74D3">
      <w:pPr>
        <w:autoSpaceDE w:val="0"/>
        <w:autoSpaceDN w:val="0"/>
        <w:adjustRightInd w:val="0"/>
        <w:spacing w:after="0" w:line="240" w:lineRule="auto"/>
        <w:jc w:val="both"/>
        <w:rPr>
          <w:rFonts w:cstheme="minorHAnsi"/>
        </w:rPr>
      </w:pPr>
      <w:r>
        <w:rPr>
          <w:rFonts w:cstheme="minorHAnsi"/>
        </w:rPr>
        <w:t xml:space="preserve">İşveren Temsilcisinin adı </w:t>
      </w:r>
      <w:r w:rsidR="003B6015" w:rsidRPr="006D74D3">
        <w:rPr>
          <w:rFonts w:cstheme="minorHAnsi"/>
        </w:rPr>
        <w:t>soyadı</w:t>
      </w:r>
      <w:r>
        <w:rPr>
          <w:rFonts w:cstheme="minorHAnsi"/>
        </w:rPr>
        <w:tab/>
      </w:r>
      <w:r w:rsidR="003B6015" w:rsidRPr="006D74D3">
        <w:rPr>
          <w:rFonts w:cstheme="minorHAnsi"/>
        </w:rPr>
        <w:t>:</w:t>
      </w:r>
    </w:p>
    <w:p w:rsidR="006D74D3" w:rsidRPr="006D74D3" w:rsidRDefault="00817E92" w:rsidP="006D74D3">
      <w:pPr>
        <w:autoSpaceDE w:val="0"/>
        <w:autoSpaceDN w:val="0"/>
        <w:adjustRightInd w:val="0"/>
        <w:spacing w:after="0" w:line="240" w:lineRule="auto"/>
        <w:jc w:val="both"/>
        <w:rPr>
          <w:rFonts w:eastAsia="Calibri" w:cstheme="minorHAnsi"/>
          <w:color w:val="0D0D0D"/>
        </w:rPr>
      </w:pPr>
      <w:r w:rsidRPr="006D74D3">
        <w:rPr>
          <w:rFonts w:eastAsia="Calibri" w:cstheme="minorHAnsi"/>
          <w:color w:val="0D0D0D"/>
        </w:rPr>
        <w:t>Tarih</w:t>
      </w:r>
      <w:r w:rsidRPr="006D74D3">
        <w:rPr>
          <w:rFonts w:eastAsia="Calibri" w:cstheme="minorHAnsi"/>
          <w:color w:val="0D0D0D"/>
        </w:rPr>
        <w:tab/>
      </w:r>
      <w:r w:rsidRPr="006D74D3">
        <w:rPr>
          <w:rFonts w:eastAsia="Calibri" w:cstheme="minorHAnsi"/>
          <w:color w:val="0D0D0D"/>
        </w:rPr>
        <w:tab/>
      </w:r>
      <w:r w:rsidR="006D74D3">
        <w:rPr>
          <w:rFonts w:eastAsia="Calibri" w:cstheme="minorHAnsi"/>
          <w:color w:val="0D0D0D"/>
        </w:rPr>
        <w:tab/>
      </w:r>
      <w:r w:rsidR="006D74D3">
        <w:rPr>
          <w:rFonts w:eastAsia="Calibri" w:cstheme="minorHAnsi"/>
          <w:color w:val="0D0D0D"/>
        </w:rPr>
        <w:tab/>
      </w:r>
      <w:r w:rsidRPr="006D74D3">
        <w:rPr>
          <w:rFonts w:eastAsia="Calibri" w:cstheme="minorHAnsi"/>
          <w:color w:val="0D0D0D"/>
        </w:rPr>
        <w:t>:.../.../...</w:t>
      </w:r>
    </w:p>
    <w:p w:rsidR="00817E92" w:rsidRPr="006D74D3" w:rsidRDefault="006D74D3" w:rsidP="006D74D3">
      <w:pPr>
        <w:autoSpaceDE w:val="0"/>
        <w:autoSpaceDN w:val="0"/>
        <w:adjustRightInd w:val="0"/>
        <w:spacing w:after="0" w:line="240" w:lineRule="auto"/>
        <w:jc w:val="both"/>
        <w:rPr>
          <w:rFonts w:eastAsia="Calibri" w:cstheme="minorHAnsi"/>
          <w:color w:val="0D0D0D"/>
        </w:rPr>
      </w:pPr>
      <w:r w:rsidRPr="006D74D3">
        <w:rPr>
          <w:rFonts w:eastAsia="Calibri" w:cstheme="minorHAnsi"/>
          <w:color w:val="0D0D0D"/>
        </w:rPr>
        <w:lastRenderedPageBreak/>
        <w:t>İm</w:t>
      </w:r>
      <w:r w:rsidR="00817E92" w:rsidRPr="006D74D3">
        <w:rPr>
          <w:rFonts w:eastAsia="Calibri" w:cstheme="minorHAnsi"/>
          <w:color w:val="0D0D0D"/>
        </w:rPr>
        <w:t>za</w:t>
      </w:r>
      <w:r w:rsidR="00817E92" w:rsidRPr="006D74D3">
        <w:rPr>
          <w:rFonts w:eastAsia="Calibri" w:cstheme="minorHAnsi"/>
          <w:color w:val="0D0D0D"/>
        </w:rPr>
        <w:tab/>
      </w:r>
      <w:r w:rsidR="00817E92" w:rsidRPr="006D74D3">
        <w:rPr>
          <w:rFonts w:eastAsia="Calibri" w:cstheme="minorHAnsi"/>
          <w:color w:val="0D0D0D"/>
        </w:rPr>
        <w:tab/>
      </w:r>
      <w:r>
        <w:rPr>
          <w:rFonts w:eastAsia="Calibri" w:cstheme="minorHAnsi"/>
          <w:color w:val="0D0D0D"/>
        </w:rPr>
        <w:tab/>
      </w:r>
      <w:r>
        <w:rPr>
          <w:rFonts w:eastAsia="Calibri" w:cstheme="minorHAnsi"/>
          <w:color w:val="0D0D0D"/>
        </w:rPr>
        <w:tab/>
      </w:r>
      <w:r w:rsidR="00817E92" w:rsidRPr="006D74D3">
        <w:rPr>
          <w:rFonts w:eastAsia="Calibri" w:cstheme="minorHAnsi"/>
          <w:color w:val="0D0D0D"/>
        </w:rPr>
        <w:t>:</w:t>
      </w:r>
    </w:p>
    <w:p w:rsidR="00BF672E" w:rsidRPr="003B6015" w:rsidRDefault="00BF672E" w:rsidP="00817E92">
      <w:pPr>
        <w:spacing w:after="0"/>
        <w:rPr>
          <w:rFonts w:cstheme="minorHAnsi"/>
        </w:rPr>
      </w:pPr>
    </w:p>
    <w:p w:rsidR="003B6015" w:rsidRPr="006D74D3" w:rsidRDefault="006D74D3" w:rsidP="006D74D3">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 xml:space="preserve">* </w:t>
      </w:r>
      <w:r w:rsidR="003B6015" w:rsidRPr="006D74D3">
        <w:rPr>
          <w:rFonts w:eastAsiaTheme="minorHAnsi" w:cstheme="minorHAnsi"/>
          <w:lang w:eastAsia="en-US"/>
        </w:rPr>
        <w:t>Bu form iki örnek olarak düzenlenerek bir örneği işverene verilecek, diğeri şirket tarafından muhafaza edilecektir.</w:t>
      </w:r>
    </w:p>
    <w:p w:rsidR="003B6015" w:rsidRPr="003B6015" w:rsidRDefault="003B6015" w:rsidP="00817E92">
      <w:pPr>
        <w:spacing w:after="0"/>
        <w:rPr>
          <w:rFonts w:cstheme="minorHAnsi"/>
        </w:rPr>
      </w:pPr>
    </w:p>
    <w:sectPr w:rsidR="003B6015" w:rsidRPr="003B6015" w:rsidSect="003B6015">
      <w:pgSz w:w="16838" w:h="11906" w:orient="landscape"/>
      <w:pgMar w:top="1417" w:right="1417" w:bottom="993" w:left="1417"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B2" w:rsidRDefault="005A3FB2" w:rsidP="00ED06C7">
      <w:pPr>
        <w:spacing w:after="0" w:line="240" w:lineRule="auto"/>
      </w:pPr>
      <w:r>
        <w:separator/>
      </w:r>
    </w:p>
  </w:endnote>
  <w:endnote w:type="continuationSeparator" w:id="0">
    <w:p w:rsidR="005A3FB2" w:rsidRDefault="005A3FB2" w:rsidP="00ED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B2" w:rsidRDefault="005A3FB2" w:rsidP="00ED06C7">
      <w:pPr>
        <w:spacing w:after="0" w:line="240" w:lineRule="auto"/>
      </w:pPr>
      <w:r>
        <w:separator/>
      </w:r>
    </w:p>
  </w:footnote>
  <w:footnote w:type="continuationSeparator" w:id="0">
    <w:p w:rsidR="005A3FB2" w:rsidRDefault="005A3FB2" w:rsidP="00ED0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B6C"/>
    <w:multiLevelType w:val="hybridMultilevel"/>
    <w:tmpl w:val="E00A5D0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64E13DF"/>
    <w:multiLevelType w:val="hybridMultilevel"/>
    <w:tmpl w:val="2578DF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C53F6"/>
    <w:multiLevelType w:val="hybridMultilevel"/>
    <w:tmpl w:val="B172EA4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5709F8"/>
    <w:multiLevelType w:val="hybridMultilevel"/>
    <w:tmpl w:val="1D48CE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5CE5976"/>
    <w:multiLevelType w:val="hybridMultilevel"/>
    <w:tmpl w:val="9A2ACD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951133B"/>
    <w:multiLevelType w:val="hybridMultilevel"/>
    <w:tmpl w:val="05B44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3B1D0D23"/>
    <w:multiLevelType w:val="hybridMultilevel"/>
    <w:tmpl w:val="545A60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BC06FCE"/>
    <w:multiLevelType w:val="hybridMultilevel"/>
    <w:tmpl w:val="E042CC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D436C4A"/>
    <w:multiLevelType w:val="hybridMultilevel"/>
    <w:tmpl w:val="C5725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A24483"/>
    <w:multiLevelType w:val="hybridMultilevel"/>
    <w:tmpl w:val="5F163C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49E47600"/>
    <w:multiLevelType w:val="hybridMultilevel"/>
    <w:tmpl w:val="46187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BA29C2"/>
    <w:multiLevelType w:val="hybridMultilevel"/>
    <w:tmpl w:val="754C8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1063C5"/>
    <w:multiLevelType w:val="hybridMultilevel"/>
    <w:tmpl w:val="C9F43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551ACC"/>
    <w:multiLevelType w:val="hybridMultilevel"/>
    <w:tmpl w:val="99EA56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13"/>
  </w:num>
  <w:num w:numId="5">
    <w:abstractNumId w:val="8"/>
  </w:num>
  <w:num w:numId="6">
    <w:abstractNumId w:val="5"/>
  </w:num>
  <w:num w:numId="7">
    <w:abstractNumId w:val="1"/>
  </w:num>
  <w:num w:numId="8">
    <w:abstractNumId w:val="6"/>
  </w:num>
  <w:num w:numId="9">
    <w:abstractNumId w:val="0"/>
  </w:num>
  <w:num w:numId="10">
    <w:abstractNumId w:val="9"/>
  </w:num>
  <w:num w:numId="11">
    <w:abstractNumId w:val="7"/>
  </w:num>
  <w:num w:numId="12">
    <w:abstractNumId w:val="4"/>
  </w:num>
  <w:num w:numId="13">
    <w:abstractNumId w:val="3"/>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23"/>
    <w:rsid w:val="000B6DFD"/>
    <w:rsid w:val="000C435F"/>
    <w:rsid w:val="00166BD1"/>
    <w:rsid w:val="001D66CA"/>
    <w:rsid w:val="002B3F12"/>
    <w:rsid w:val="002C4E3A"/>
    <w:rsid w:val="002F2019"/>
    <w:rsid w:val="003B6015"/>
    <w:rsid w:val="004013AC"/>
    <w:rsid w:val="004179BE"/>
    <w:rsid w:val="004350A3"/>
    <w:rsid w:val="00453523"/>
    <w:rsid w:val="004E08F2"/>
    <w:rsid w:val="00586C28"/>
    <w:rsid w:val="005A3FB2"/>
    <w:rsid w:val="005C20B3"/>
    <w:rsid w:val="00681018"/>
    <w:rsid w:val="00686349"/>
    <w:rsid w:val="006D74D3"/>
    <w:rsid w:val="006F6BF9"/>
    <w:rsid w:val="00817E92"/>
    <w:rsid w:val="00847854"/>
    <w:rsid w:val="009F1A28"/>
    <w:rsid w:val="00AC5632"/>
    <w:rsid w:val="00B2208C"/>
    <w:rsid w:val="00BC7284"/>
    <w:rsid w:val="00BF3EF8"/>
    <w:rsid w:val="00BF672E"/>
    <w:rsid w:val="00CB6C90"/>
    <w:rsid w:val="00D5711A"/>
    <w:rsid w:val="00DC3347"/>
    <w:rsid w:val="00E119F9"/>
    <w:rsid w:val="00E90FE5"/>
    <w:rsid w:val="00ED06C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3519D-B73A-41B4-B601-E82895EE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6C7"/>
  </w:style>
  <w:style w:type="paragraph" w:styleId="Footer">
    <w:name w:val="footer"/>
    <w:basedOn w:val="Normal"/>
    <w:link w:val="FooterChar"/>
    <w:uiPriority w:val="99"/>
    <w:unhideWhenUsed/>
    <w:rsid w:val="00ED0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06C7"/>
  </w:style>
  <w:style w:type="paragraph" w:styleId="ListParagraph">
    <w:name w:val="List Paragraph"/>
    <w:basedOn w:val="Normal"/>
    <w:uiPriority w:val="34"/>
    <w:qFormat/>
    <w:rsid w:val="00ED06C7"/>
    <w:pPr>
      <w:spacing w:after="200" w:line="276" w:lineRule="auto"/>
      <w:ind w:left="720"/>
      <w:contextualSpacing/>
    </w:pPr>
    <w:rPr>
      <w:rFonts w:ascii="Arial" w:eastAsiaTheme="minorHAnsi" w:hAnsi="Arial"/>
      <w:sz w:val="20"/>
      <w:lang w:eastAsia="en-US"/>
    </w:rPr>
  </w:style>
  <w:style w:type="character" w:styleId="CommentReference">
    <w:name w:val="annotation reference"/>
    <w:basedOn w:val="DefaultParagraphFont"/>
    <w:uiPriority w:val="99"/>
    <w:semiHidden/>
    <w:unhideWhenUsed/>
    <w:rsid w:val="00BF3EF8"/>
    <w:rPr>
      <w:sz w:val="16"/>
      <w:szCs w:val="16"/>
    </w:rPr>
  </w:style>
  <w:style w:type="paragraph" w:styleId="CommentText">
    <w:name w:val="annotation text"/>
    <w:basedOn w:val="Normal"/>
    <w:link w:val="CommentTextChar"/>
    <w:uiPriority w:val="99"/>
    <w:semiHidden/>
    <w:unhideWhenUsed/>
    <w:rsid w:val="00BF3EF8"/>
    <w:pPr>
      <w:spacing w:line="240" w:lineRule="auto"/>
    </w:pPr>
    <w:rPr>
      <w:sz w:val="20"/>
      <w:szCs w:val="20"/>
    </w:rPr>
  </w:style>
  <w:style w:type="character" w:customStyle="1" w:styleId="CommentTextChar">
    <w:name w:val="Comment Text Char"/>
    <w:basedOn w:val="DefaultParagraphFont"/>
    <w:link w:val="CommentText"/>
    <w:uiPriority w:val="99"/>
    <w:semiHidden/>
    <w:rsid w:val="00BF3EF8"/>
    <w:rPr>
      <w:sz w:val="20"/>
      <w:szCs w:val="20"/>
    </w:rPr>
  </w:style>
  <w:style w:type="paragraph" w:styleId="CommentSubject">
    <w:name w:val="annotation subject"/>
    <w:basedOn w:val="CommentText"/>
    <w:next w:val="CommentText"/>
    <w:link w:val="CommentSubjectChar"/>
    <w:uiPriority w:val="99"/>
    <w:semiHidden/>
    <w:unhideWhenUsed/>
    <w:rsid w:val="00BF3EF8"/>
    <w:rPr>
      <w:b/>
      <w:bCs/>
    </w:rPr>
  </w:style>
  <w:style w:type="character" w:customStyle="1" w:styleId="CommentSubjectChar">
    <w:name w:val="Comment Subject Char"/>
    <w:basedOn w:val="CommentTextChar"/>
    <w:link w:val="CommentSubject"/>
    <w:uiPriority w:val="99"/>
    <w:semiHidden/>
    <w:rsid w:val="00BF3EF8"/>
    <w:rPr>
      <w:b/>
      <w:bCs/>
      <w:sz w:val="20"/>
      <w:szCs w:val="20"/>
    </w:rPr>
  </w:style>
  <w:style w:type="paragraph" w:styleId="BalloonText">
    <w:name w:val="Balloon Text"/>
    <w:basedOn w:val="Normal"/>
    <w:link w:val="BalloonTextChar"/>
    <w:uiPriority w:val="99"/>
    <w:semiHidden/>
    <w:unhideWhenUsed/>
    <w:rsid w:val="00BF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7045">
      <w:bodyDiv w:val="1"/>
      <w:marLeft w:val="0"/>
      <w:marRight w:val="0"/>
      <w:marTop w:val="0"/>
      <w:marBottom w:val="0"/>
      <w:divBdr>
        <w:top w:val="none" w:sz="0" w:space="0" w:color="auto"/>
        <w:left w:val="none" w:sz="0" w:space="0" w:color="auto"/>
        <w:bottom w:val="none" w:sz="0" w:space="0" w:color="auto"/>
        <w:right w:val="none" w:sz="0" w:space="0" w:color="auto"/>
      </w:divBdr>
    </w:div>
    <w:div w:id="312609056">
      <w:bodyDiv w:val="1"/>
      <w:marLeft w:val="0"/>
      <w:marRight w:val="0"/>
      <w:marTop w:val="0"/>
      <w:marBottom w:val="0"/>
      <w:divBdr>
        <w:top w:val="none" w:sz="0" w:space="0" w:color="auto"/>
        <w:left w:val="none" w:sz="0" w:space="0" w:color="auto"/>
        <w:bottom w:val="none" w:sz="0" w:space="0" w:color="auto"/>
        <w:right w:val="none" w:sz="0" w:space="0" w:color="auto"/>
      </w:divBdr>
    </w:div>
    <w:div w:id="504125287">
      <w:bodyDiv w:val="1"/>
      <w:marLeft w:val="0"/>
      <w:marRight w:val="0"/>
      <w:marTop w:val="0"/>
      <w:marBottom w:val="0"/>
      <w:divBdr>
        <w:top w:val="none" w:sz="0" w:space="0" w:color="auto"/>
        <w:left w:val="none" w:sz="0" w:space="0" w:color="auto"/>
        <w:bottom w:val="none" w:sz="0" w:space="0" w:color="auto"/>
        <w:right w:val="none" w:sz="0" w:space="0" w:color="auto"/>
      </w:divBdr>
    </w:div>
    <w:div w:id="567764071">
      <w:bodyDiv w:val="1"/>
      <w:marLeft w:val="0"/>
      <w:marRight w:val="0"/>
      <w:marTop w:val="0"/>
      <w:marBottom w:val="0"/>
      <w:divBdr>
        <w:top w:val="none" w:sz="0" w:space="0" w:color="auto"/>
        <w:left w:val="none" w:sz="0" w:space="0" w:color="auto"/>
        <w:bottom w:val="none" w:sz="0" w:space="0" w:color="auto"/>
        <w:right w:val="none" w:sz="0" w:space="0" w:color="auto"/>
      </w:divBdr>
    </w:div>
    <w:div w:id="812334489">
      <w:bodyDiv w:val="1"/>
      <w:marLeft w:val="0"/>
      <w:marRight w:val="0"/>
      <w:marTop w:val="0"/>
      <w:marBottom w:val="0"/>
      <w:divBdr>
        <w:top w:val="none" w:sz="0" w:space="0" w:color="auto"/>
        <w:left w:val="none" w:sz="0" w:space="0" w:color="auto"/>
        <w:bottom w:val="none" w:sz="0" w:space="0" w:color="auto"/>
        <w:right w:val="none" w:sz="0" w:space="0" w:color="auto"/>
      </w:divBdr>
    </w:div>
    <w:div w:id="816191661">
      <w:bodyDiv w:val="1"/>
      <w:marLeft w:val="0"/>
      <w:marRight w:val="0"/>
      <w:marTop w:val="0"/>
      <w:marBottom w:val="0"/>
      <w:divBdr>
        <w:top w:val="none" w:sz="0" w:space="0" w:color="auto"/>
        <w:left w:val="none" w:sz="0" w:space="0" w:color="auto"/>
        <w:bottom w:val="none" w:sz="0" w:space="0" w:color="auto"/>
        <w:right w:val="none" w:sz="0" w:space="0" w:color="auto"/>
      </w:divBdr>
    </w:div>
    <w:div w:id="1168981005">
      <w:bodyDiv w:val="1"/>
      <w:marLeft w:val="0"/>
      <w:marRight w:val="0"/>
      <w:marTop w:val="0"/>
      <w:marBottom w:val="0"/>
      <w:divBdr>
        <w:top w:val="none" w:sz="0" w:space="0" w:color="auto"/>
        <w:left w:val="none" w:sz="0" w:space="0" w:color="auto"/>
        <w:bottom w:val="none" w:sz="0" w:space="0" w:color="auto"/>
        <w:right w:val="none" w:sz="0" w:space="0" w:color="auto"/>
      </w:divBdr>
    </w:div>
    <w:div w:id="1244097772">
      <w:bodyDiv w:val="1"/>
      <w:marLeft w:val="0"/>
      <w:marRight w:val="0"/>
      <w:marTop w:val="0"/>
      <w:marBottom w:val="0"/>
      <w:divBdr>
        <w:top w:val="none" w:sz="0" w:space="0" w:color="auto"/>
        <w:left w:val="none" w:sz="0" w:space="0" w:color="auto"/>
        <w:bottom w:val="none" w:sz="0" w:space="0" w:color="auto"/>
        <w:right w:val="none" w:sz="0" w:space="0" w:color="auto"/>
      </w:divBdr>
    </w:div>
    <w:div w:id="1283462442">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1571574973">
      <w:bodyDiv w:val="1"/>
      <w:marLeft w:val="0"/>
      <w:marRight w:val="0"/>
      <w:marTop w:val="0"/>
      <w:marBottom w:val="0"/>
      <w:divBdr>
        <w:top w:val="none" w:sz="0" w:space="0" w:color="auto"/>
        <w:left w:val="none" w:sz="0" w:space="0" w:color="auto"/>
        <w:bottom w:val="none" w:sz="0" w:space="0" w:color="auto"/>
        <w:right w:val="none" w:sz="0" w:space="0" w:color="auto"/>
      </w:divBdr>
    </w:div>
    <w:div w:id="2089420576">
      <w:bodyDiv w:val="1"/>
      <w:marLeft w:val="0"/>
      <w:marRight w:val="0"/>
      <w:marTop w:val="0"/>
      <w:marBottom w:val="0"/>
      <w:divBdr>
        <w:top w:val="none" w:sz="0" w:space="0" w:color="auto"/>
        <w:left w:val="none" w:sz="0" w:space="0" w:color="auto"/>
        <w:bottom w:val="none" w:sz="0" w:space="0" w:color="auto"/>
        <w:right w:val="none" w:sz="0" w:space="0" w:color="auto"/>
      </w:divBdr>
    </w:div>
    <w:div w:id="21300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Hazine Müsteşarlığı</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Yıldız</dc:creator>
  <cp:lastModifiedBy>Ali Burak KURTULAN</cp:lastModifiedBy>
  <cp:revision>5</cp:revision>
  <dcterms:created xsi:type="dcterms:W3CDTF">2019-04-19T12:47:00Z</dcterms:created>
  <dcterms:modified xsi:type="dcterms:W3CDTF">2021-06-23T09:18:00Z</dcterms:modified>
</cp:coreProperties>
</file>